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9385" w14:textId="22210450" w:rsidR="000B75FC" w:rsidRPr="0095697C" w:rsidRDefault="000B75FC" w:rsidP="00140E77">
      <w:pPr>
        <w:autoSpaceDE w:val="0"/>
        <w:autoSpaceDN w:val="0"/>
        <w:adjustRightInd w:val="0"/>
        <w:spacing w:beforeLines="50" w:afterLines="50" w:after="120"/>
        <w:rPr>
          <w:b/>
          <w:bCs/>
          <w:color w:val="000000" w:themeColor="text1"/>
        </w:rPr>
      </w:pPr>
      <w:r w:rsidRPr="0095697C">
        <w:rPr>
          <w:color w:val="000000" w:themeColor="text1"/>
        </w:rPr>
        <w:drawing>
          <wp:anchor distT="0" distB="0" distL="114300" distR="114300" simplePos="0" relativeHeight="251659264" behindDoc="0" locked="0" layoutInCell="1" allowOverlap="1" wp14:anchorId="31543FA4" wp14:editId="081A415C">
            <wp:simplePos x="0" y="0"/>
            <wp:positionH relativeFrom="column">
              <wp:posOffset>2790825</wp:posOffset>
            </wp:positionH>
            <wp:positionV relativeFrom="paragraph">
              <wp:posOffset>-567690</wp:posOffset>
            </wp:positionV>
            <wp:extent cx="609600" cy="80962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97C">
        <w:rPr>
          <w:b/>
          <w:bCs/>
          <w:color w:val="000000" w:themeColor="text1"/>
        </w:rPr>
        <w:t xml:space="preserve">                                                                                                                                                                                                                                                                                                                                                                                                                                                                                                                                                                               </w:t>
      </w:r>
    </w:p>
    <w:p w14:paraId="495555BE" w14:textId="77777777" w:rsidR="000B75FC" w:rsidRPr="0095697C" w:rsidRDefault="000B75FC" w:rsidP="00140E77">
      <w:pPr>
        <w:autoSpaceDE w:val="0"/>
        <w:autoSpaceDN w:val="0"/>
        <w:adjustRightInd w:val="0"/>
        <w:spacing w:beforeLines="50" w:afterLines="50" w:after="120"/>
        <w:rPr>
          <w:b/>
          <w:bCs/>
          <w:color w:val="000000" w:themeColor="text1"/>
        </w:rPr>
      </w:pPr>
    </w:p>
    <w:p w14:paraId="69C740BF" w14:textId="77777777" w:rsidR="000B75FC" w:rsidRPr="0095697C" w:rsidRDefault="000B75FC" w:rsidP="00140E77">
      <w:pPr>
        <w:spacing w:beforeLines="50" w:afterLines="50" w:after="120"/>
        <w:rPr>
          <w:b/>
          <w:bCs/>
          <w:color w:val="000000" w:themeColor="text1"/>
        </w:rPr>
      </w:pPr>
    </w:p>
    <w:p w14:paraId="1C0BE0B7" w14:textId="77777777" w:rsidR="000B75FC" w:rsidRPr="0095697C" w:rsidRDefault="000B75FC" w:rsidP="00140E77">
      <w:pPr>
        <w:spacing w:beforeLines="50" w:afterLines="50" w:after="120"/>
        <w:jc w:val="center"/>
        <w:rPr>
          <w:b/>
          <w:bCs/>
          <w:color w:val="000000" w:themeColor="text1"/>
        </w:rPr>
      </w:pPr>
    </w:p>
    <w:p w14:paraId="0EB89397" w14:textId="77777777" w:rsidR="000B75FC" w:rsidRPr="0095697C" w:rsidRDefault="000B75FC" w:rsidP="00140E77">
      <w:pPr>
        <w:spacing w:beforeLines="50" w:afterLines="50" w:after="120"/>
        <w:jc w:val="center"/>
        <w:rPr>
          <w:b/>
          <w:bCs/>
          <w:color w:val="000000" w:themeColor="text1"/>
        </w:rPr>
      </w:pPr>
      <w:r w:rsidRPr="0095697C">
        <w:rPr>
          <w:b/>
          <w:bCs/>
          <w:color w:val="000000" w:themeColor="text1"/>
        </w:rPr>
        <w:t>ORDONANȚĂ DE URGENȚĂ</w:t>
      </w:r>
    </w:p>
    <w:p w14:paraId="2661FDE8" w14:textId="3261BA4D" w:rsidR="009A0478" w:rsidRPr="0095697C" w:rsidRDefault="008F6104" w:rsidP="00A97BDD">
      <w:pPr>
        <w:tabs>
          <w:tab w:val="left" w:pos="8115"/>
        </w:tabs>
        <w:spacing w:beforeLines="50" w:afterLines="50" w:after="120"/>
        <w:ind w:left="0" w:firstLine="0"/>
        <w:jc w:val="center"/>
        <w:rPr>
          <w:rFonts w:asciiTheme="minorHAnsi" w:eastAsiaTheme="minorHAnsi" w:hAnsiTheme="minorHAnsi" w:cstheme="minorBidi"/>
          <w:color w:val="000000" w:themeColor="text1"/>
          <w:kern w:val="2"/>
          <w14:ligatures w14:val="standardContextual"/>
        </w:rPr>
      </w:pPr>
      <w:bookmarkStart w:id="0" w:name="_Hlk206663051"/>
      <w:r w:rsidRPr="0095697C">
        <w:rPr>
          <w:b/>
          <w:color w:val="000000" w:themeColor="text1"/>
        </w:rPr>
        <w:t>pentru modificarea și completarea Legii</w:t>
      </w:r>
      <w:r w:rsidR="00E21AB7" w:rsidRPr="0095697C">
        <w:rPr>
          <w:b/>
          <w:color w:val="000000" w:themeColor="text1"/>
        </w:rPr>
        <w:t xml:space="preserve"> </w:t>
      </w:r>
      <w:r w:rsidRPr="0095697C">
        <w:rPr>
          <w:b/>
          <w:color w:val="000000" w:themeColor="text1"/>
        </w:rPr>
        <w:t>energiei electrice și a gazelor naturale</w:t>
      </w:r>
      <w:r w:rsidR="00B90CF7">
        <w:rPr>
          <w:b/>
          <w:color w:val="000000" w:themeColor="text1"/>
        </w:rPr>
        <w:t xml:space="preserve"> </w:t>
      </w:r>
      <w:r w:rsidR="00B90CF7" w:rsidRPr="0095697C">
        <w:rPr>
          <w:b/>
          <w:color w:val="000000" w:themeColor="text1"/>
        </w:rPr>
        <w:t>nr. 123/2012</w:t>
      </w:r>
    </w:p>
    <w:p w14:paraId="26C3A3E9" w14:textId="77777777" w:rsidR="00B04FD4" w:rsidRPr="0095697C" w:rsidRDefault="00B04FD4" w:rsidP="00D0339D">
      <w:pPr>
        <w:spacing w:beforeLines="50" w:afterLines="50" w:after="120"/>
        <w:ind w:left="0" w:firstLine="0"/>
        <w:rPr>
          <w:color w:val="000000" w:themeColor="text1"/>
        </w:rPr>
      </w:pPr>
      <w:bookmarkStart w:id="1" w:name="_Hlk190975135"/>
      <w:bookmarkEnd w:id="0"/>
    </w:p>
    <w:p w14:paraId="64607E4D" w14:textId="77777777" w:rsidR="008F6104" w:rsidRPr="0095697C" w:rsidRDefault="008F6104" w:rsidP="00A97BDD">
      <w:pPr>
        <w:spacing w:beforeLines="50" w:afterLines="50" w:after="120"/>
        <w:ind w:left="0" w:firstLine="0"/>
        <w:rPr>
          <w:color w:val="000000" w:themeColor="text1"/>
        </w:rPr>
      </w:pPr>
      <w:r w:rsidRPr="0095697C">
        <w:rPr>
          <w:color w:val="000000" w:themeColor="text1"/>
        </w:rPr>
        <w:t xml:space="preserve">În vederea asigurării respectării obligației statului român de a adopta, în calitate de stat membru, măsurile legislative naționale necesare transpunerii prevederilor </w:t>
      </w:r>
      <w:bookmarkStart w:id="2" w:name="_Hlk194571976"/>
      <w:r w:rsidRPr="0095697C">
        <w:rPr>
          <w:color w:val="000000" w:themeColor="text1"/>
        </w:rPr>
        <w:t xml:space="preserve">Directivei (UE) 2024/1711 a Parlamentului European și a Consiliului din 13 iunie 2024 de modificare a Directivelor (UE) 2018/2001 și (UE) 2019/944 </w:t>
      </w:r>
      <w:bookmarkEnd w:id="2"/>
      <w:r w:rsidRPr="0095697C">
        <w:rPr>
          <w:color w:val="000000" w:themeColor="text1"/>
        </w:rPr>
        <w:t xml:space="preserve">în ceea ce privește îmbunătățirea organizării pieței energiei electrice a Uniunii, </w:t>
      </w:r>
    </w:p>
    <w:p w14:paraId="64DA4349"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Având în vedere că o consolidare a pieței interne a energiei și realizarea obiectivelor în materie de tranziție climatică și energetică necesită o modernizare substanțială a rețelei electrice, pentru ca aceasta să poată suporta creșterea capacității de producție de energie din surse regenerabile, și să poată răspunde creșterii cererii de energie electrică generată de noile tehnologii, precum vehiculele electrice și pompele de căldură,</w:t>
      </w:r>
    </w:p>
    <w:p w14:paraId="24543644"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Dat fiind că racordarea la rețea a noilor capacități de producere, în special a capacităților de producere a energiei electrice din surse regenerabile se confruntă adesea cu întârzieri în procedura de racordare la rețea, unul dintre motivele unor astfel de întârzieri fiind lipsa de disponibilitate a capacității rețelei de a acomoda noi investiții, </w:t>
      </w:r>
    </w:p>
    <w:p w14:paraId="4DB29403"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Luând în considerare faptul că un element esențial al viitoarelor piețe și sisteme de energie electrică din Uniune îl reprezintă folosirea ca bază și valorificarea potențialului de digitalizare al sistemului energetic, inclusiv prin participarea activă a consumatorilor,</w:t>
      </w:r>
    </w:p>
    <w:p w14:paraId="56E5119A"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Luând în considerare necesitatea de a stabili un cadru în care să fie respectate alegerile consumatorilor și să li se permită acestora să beneficieze de o diversitate de oferte contractuale, precum și necesitatea de a proteja clienții casnici de prețurile ridicate în timpul unei crize energetice, </w:t>
      </w:r>
    </w:p>
    <w:p w14:paraId="2CE12AF8"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Deoarece grupuri largi de consumatori care nu au opțiunea de a deveni clienți activi din cauza constrângerilor financiare sau spațiale ar putea beneficia de partajarea energiei produse de clienții activi, creându-se astfel reziliență la efectele prețurilor ridicate și volatile de pe piața angro asupra facturilor la energie ale consumatorilor, iar clienții activi care dețin, concesionează sau închiriază o instalație de stocare sau de producere ar trebui să aibă dreptul de a partaja producția excedentară contra cost sau cu titlu gratuit,</w:t>
      </w:r>
    </w:p>
    <w:p w14:paraId="553A46C2"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lastRenderedPageBreak/>
        <w:t xml:space="preserve">Dat fiind că este necesar ca toți consumatorii să beneficieze de tranziția energetică și să își poată decupla facturile la energie electrică de variațiile prețurilor pe termen scurt de pe piețele energiei, </w:t>
      </w:r>
    </w:p>
    <w:p w14:paraId="37B95213" w14:textId="77777777"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Dat fiind necesitatea de reechilibrare a riscul dintre furnizori și consumatori, iar aceștia din urmă să aibă acces la o gamă largă de oferte, astfel încât să poată alege un contract care să corespundă nevoilor proprii, </w:t>
      </w:r>
    </w:p>
    <w:p w14:paraId="5B8E7552" w14:textId="4EB86832" w:rsidR="008F6104" w:rsidRPr="0095697C" w:rsidRDefault="008F6104" w:rsidP="00A97BD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Având în vedere că este necesar ca acei clienți considerați drept vulnerabili și clienții afectați de sărăcie energetică ar trebui să fie protejați în mod adecvat împotriva debranșărilor de la alimentarea cu energie electrică, fără a leza, în același timp, ceilalți participanți la piață</w:t>
      </w:r>
      <w:r w:rsidR="00D0339D" w:rsidRPr="0095697C">
        <w:rPr>
          <w:color w:val="000000" w:themeColor="text1"/>
        </w:rPr>
        <w:t>.</w:t>
      </w:r>
    </w:p>
    <w:p w14:paraId="602919E8" w14:textId="783FC9CB" w:rsidR="006F6070" w:rsidRPr="0095697C" w:rsidRDefault="006F6070" w:rsidP="006F6070">
      <w:pPr>
        <w:spacing w:beforeLines="50" w:afterLines="50" w:after="120"/>
        <w:ind w:left="0" w:firstLine="0"/>
        <w:rPr>
          <w:color w:val="000000" w:themeColor="text1"/>
        </w:rPr>
      </w:pPr>
      <w:r w:rsidRPr="0095697C">
        <w:rPr>
          <w:color w:val="000000" w:themeColor="text1"/>
        </w:rPr>
        <w:t>Ținând seama de necesitatea creșterii predictibilității și stabilității tarifelor de distribuție și transport al energiei electrice, prin agregarea achizițiilor de energie electrică destinate acoperirii consumului propriu tehnologic al operatorilor de distribuție și de transport,</w:t>
      </w:r>
    </w:p>
    <w:p w14:paraId="23D3B73E" w14:textId="02597472" w:rsidR="006F6070" w:rsidRPr="0095697C" w:rsidRDefault="009119FB" w:rsidP="006F6070">
      <w:pPr>
        <w:spacing w:beforeLines="50" w:afterLines="50" w:after="120"/>
        <w:ind w:left="0" w:firstLine="0"/>
        <w:rPr>
          <w:color w:val="000000" w:themeColor="text1"/>
        </w:rPr>
      </w:pPr>
      <w:r w:rsidRPr="0095697C">
        <w:rPr>
          <w:color w:val="000000" w:themeColor="text1"/>
        </w:rPr>
        <w:t>L</w:t>
      </w:r>
      <w:r w:rsidR="006F6070" w:rsidRPr="0095697C">
        <w:rPr>
          <w:color w:val="000000" w:themeColor="text1"/>
        </w:rPr>
        <w:t>uând în considerare faptul că achizițiile centralizate</w:t>
      </w:r>
      <w:r w:rsidRPr="0095697C">
        <w:rPr>
          <w:color w:val="000000" w:themeColor="text1"/>
        </w:rPr>
        <w:t xml:space="preserve"> pe termen lung</w:t>
      </w:r>
      <w:r w:rsidR="006F6070" w:rsidRPr="0095697C">
        <w:rPr>
          <w:color w:val="000000" w:themeColor="text1"/>
        </w:rPr>
        <w:t xml:space="preserve">, realizate prin intermediul achizitorului unic, organizat ca </w:t>
      </w:r>
      <w:r w:rsidRPr="0095697C">
        <w:rPr>
          <w:color w:val="000000" w:themeColor="text1"/>
        </w:rPr>
        <w:t xml:space="preserve">societate pe acțiuni </w:t>
      </w:r>
      <w:r w:rsidR="006F6070" w:rsidRPr="0095697C">
        <w:rPr>
          <w:color w:val="000000" w:themeColor="text1"/>
        </w:rPr>
        <w:t xml:space="preserve">și fără scop comercial, contribuie la </w:t>
      </w:r>
      <w:r w:rsidRPr="0095697C">
        <w:rPr>
          <w:color w:val="000000" w:themeColor="text1"/>
        </w:rPr>
        <w:t xml:space="preserve">reducerea </w:t>
      </w:r>
      <w:r w:rsidR="006F6070" w:rsidRPr="0095697C">
        <w:rPr>
          <w:color w:val="000000" w:themeColor="text1"/>
        </w:rPr>
        <w:t>costurilor de achiziție, la optimizarea proceselor de piață și, implicit, la reducerea impactului acestor costuri în factura consumatorilor finali,</w:t>
      </w:r>
    </w:p>
    <w:p w14:paraId="5B13EE09" w14:textId="4B8ED657" w:rsidR="006F6070" w:rsidRPr="0095697C" w:rsidRDefault="009119FB" w:rsidP="006F6070">
      <w:pPr>
        <w:spacing w:beforeLines="50" w:afterLines="50" w:after="120"/>
        <w:ind w:left="0" w:firstLine="0"/>
        <w:rPr>
          <w:color w:val="000000" w:themeColor="text1"/>
        </w:rPr>
      </w:pPr>
      <w:r w:rsidRPr="0095697C">
        <w:rPr>
          <w:color w:val="000000" w:themeColor="text1"/>
        </w:rPr>
        <w:t>Ț</w:t>
      </w:r>
      <w:r w:rsidR="006F6070" w:rsidRPr="0095697C">
        <w:rPr>
          <w:color w:val="000000" w:themeColor="text1"/>
        </w:rPr>
        <w:t>in</w:t>
      </w:r>
      <w:r w:rsidRPr="0095697C">
        <w:rPr>
          <w:color w:val="000000" w:themeColor="text1"/>
        </w:rPr>
        <w:t>â</w:t>
      </w:r>
      <w:r w:rsidR="006F6070" w:rsidRPr="0095697C">
        <w:rPr>
          <w:color w:val="000000" w:themeColor="text1"/>
        </w:rPr>
        <w:t>nd seama că energia achiziționată de achizitorul unic este destinată exclusiv acoperirii cantităților comunicate de operatorii de distribuție și de transport și poate fi revândută numai acestora, în condițiile reglementărilor ANRE, la un tarif reglementat,</w:t>
      </w:r>
      <w:r w:rsidRPr="0095697C">
        <w:rPr>
          <w:color w:val="000000" w:themeColor="text1"/>
        </w:rPr>
        <w:t xml:space="preserve"> s</w:t>
      </w:r>
      <w:r w:rsidR="006F6070" w:rsidRPr="0095697C">
        <w:rPr>
          <w:color w:val="000000" w:themeColor="text1"/>
        </w:rPr>
        <w:t xml:space="preserve">e urmărește crearea unui mecanism de achiziție comun care să asigure predictibilitate, transparență și eficiență economică în beneficiul </w:t>
      </w:r>
      <w:r w:rsidRPr="0095697C">
        <w:rPr>
          <w:color w:val="000000" w:themeColor="text1"/>
        </w:rPr>
        <w:t xml:space="preserve">consumatorilor </w:t>
      </w:r>
      <w:r w:rsidR="006F6070" w:rsidRPr="0095697C">
        <w:rPr>
          <w:color w:val="000000" w:themeColor="text1"/>
        </w:rPr>
        <w:t>final</w:t>
      </w:r>
      <w:r w:rsidRPr="0095697C">
        <w:rPr>
          <w:color w:val="000000" w:themeColor="text1"/>
        </w:rPr>
        <w:t>,</w:t>
      </w:r>
    </w:p>
    <w:p w14:paraId="0337C381" w14:textId="77777777" w:rsidR="008F6104" w:rsidRPr="0095697C" w:rsidRDefault="008F6104"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Având în vedere că în data de 27 martie 2025, Comisia Europeană a notificat autorităților române scrisoarea de punere în întârziere în Cauza 2025/0169 – procedură de infringement având ca obiect netranspunerea în termen a Directivei (UE) 2024/1711 și în acest sens sunt necesare măsuri urgente de remediere a situației pentru a răspunde solicitărilor Comisiei cât mai curând posibil prin transpunerea prevederilor sus-menționate în prezentul proiect de act normativ și pentru a evita declanșarea procedurii contencioase împotriva României prin sesizarea Curții de Justiție a Uniunii Europene,  </w:t>
      </w:r>
    </w:p>
    <w:p w14:paraId="1FAFA12F" w14:textId="14DB1939" w:rsidR="000B75FC" w:rsidRPr="0095697C" w:rsidRDefault="008F6104"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În considerarea faptului că aceste elemente creează o </w:t>
      </w:r>
      <w:r w:rsidR="00587E78" w:rsidRPr="0095697C">
        <w:rPr>
          <w:color w:val="000000" w:themeColor="text1"/>
        </w:rPr>
        <w:t>situație</w:t>
      </w:r>
      <w:r w:rsidRPr="0095697C">
        <w:rPr>
          <w:color w:val="000000" w:themeColor="text1"/>
        </w:rPr>
        <w:t xml:space="preserve"> extraordinară a cărei reglementare nu poate fi amânată, atât pentru a evita continuarea procedurii de infringement, dar și pentru a </w:t>
      </w:r>
      <w:r w:rsidR="00587E78" w:rsidRPr="0095697C">
        <w:rPr>
          <w:color w:val="000000" w:themeColor="text1"/>
        </w:rPr>
        <w:t>preîntâmpina</w:t>
      </w:r>
      <w:r w:rsidRPr="0095697C">
        <w:rPr>
          <w:color w:val="000000" w:themeColor="text1"/>
        </w:rPr>
        <w:t xml:space="preserve"> continuarea unor situații care afectează interesul general public, cu </w:t>
      </w:r>
      <w:r w:rsidR="00587E78" w:rsidRPr="0095697C">
        <w:rPr>
          <w:color w:val="000000" w:themeColor="text1"/>
        </w:rPr>
        <w:t>implicații</w:t>
      </w:r>
      <w:r w:rsidRPr="0095697C">
        <w:rPr>
          <w:color w:val="000000" w:themeColor="text1"/>
        </w:rPr>
        <w:t xml:space="preserve"> asupra </w:t>
      </w:r>
      <w:r w:rsidR="00587E78" w:rsidRPr="0095697C">
        <w:rPr>
          <w:color w:val="000000" w:themeColor="text1"/>
        </w:rPr>
        <w:t>securității</w:t>
      </w:r>
      <w:r w:rsidRPr="0095697C">
        <w:rPr>
          <w:color w:val="000000" w:themeColor="text1"/>
        </w:rPr>
        <w:t xml:space="preserve"> energetice, economice </w:t>
      </w:r>
      <w:r w:rsidR="00391F88" w:rsidRPr="0095697C">
        <w:rPr>
          <w:color w:val="000000" w:themeColor="text1"/>
        </w:rPr>
        <w:t>ș</w:t>
      </w:r>
      <w:r w:rsidRPr="0095697C">
        <w:rPr>
          <w:color w:val="000000" w:themeColor="text1"/>
        </w:rPr>
        <w:t xml:space="preserve">i sociale a României, </w:t>
      </w:r>
      <w:r w:rsidR="00587E78" w:rsidRPr="0095697C">
        <w:rPr>
          <w:color w:val="000000" w:themeColor="text1"/>
        </w:rPr>
        <w:t>ș</w:t>
      </w:r>
      <w:r w:rsidRPr="0095697C">
        <w:rPr>
          <w:color w:val="000000" w:themeColor="text1"/>
        </w:rPr>
        <w:t xml:space="preserve">i care necesită </w:t>
      </w:r>
      <w:r w:rsidR="00587E78" w:rsidRPr="0095697C">
        <w:rPr>
          <w:color w:val="000000" w:themeColor="text1"/>
        </w:rPr>
        <w:t>intervenția</w:t>
      </w:r>
      <w:r w:rsidRPr="0095697C">
        <w:rPr>
          <w:color w:val="000000" w:themeColor="text1"/>
        </w:rPr>
        <w:t xml:space="preserve"> imediată a Guvernului prin măsuri normative urgente,</w:t>
      </w:r>
    </w:p>
    <w:bookmarkEnd w:id="1"/>
    <w:p w14:paraId="2FC740F2" w14:textId="5F6CD5A2" w:rsidR="000B75FC" w:rsidRPr="0095697C" w:rsidRDefault="000B75FC" w:rsidP="00D0339D">
      <w:pPr>
        <w:spacing w:beforeLines="50" w:afterLines="50" w:after="120"/>
        <w:ind w:left="0" w:firstLine="0"/>
        <w:rPr>
          <w:b/>
          <w:color w:val="000000" w:themeColor="text1"/>
        </w:rPr>
      </w:pPr>
      <w:r w:rsidRPr="0095697C">
        <w:rPr>
          <w:b/>
          <w:color w:val="000000" w:themeColor="text1"/>
        </w:rPr>
        <w:t xml:space="preserve">În temeiul art. 115 alin. (4) din </w:t>
      </w:r>
      <w:r w:rsidR="00E1752B" w:rsidRPr="0095697C">
        <w:rPr>
          <w:b/>
          <w:color w:val="000000" w:themeColor="text1"/>
        </w:rPr>
        <w:t>Constituția</w:t>
      </w:r>
      <w:r w:rsidRPr="0095697C">
        <w:rPr>
          <w:b/>
          <w:color w:val="000000" w:themeColor="text1"/>
        </w:rPr>
        <w:t xml:space="preserve"> României, republicată, Guvernul României adoptă prezenta </w:t>
      </w:r>
      <w:r w:rsidR="00E1752B" w:rsidRPr="0095697C">
        <w:rPr>
          <w:b/>
          <w:color w:val="000000" w:themeColor="text1"/>
        </w:rPr>
        <w:t>ordonanță</w:t>
      </w:r>
      <w:r w:rsidRPr="0095697C">
        <w:rPr>
          <w:b/>
          <w:color w:val="000000" w:themeColor="text1"/>
        </w:rPr>
        <w:t xml:space="preserve"> de </w:t>
      </w:r>
      <w:r w:rsidR="00E1752B" w:rsidRPr="0095697C">
        <w:rPr>
          <w:b/>
          <w:color w:val="000000" w:themeColor="text1"/>
        </w:rPr>
        <w:t>urgență</w:t>
      </w:r>
      <w:r w:rsidRPr="0095697C">
        <w:rPr>
          <w:b/>
          <w:color w:val="000000" w:themeColor="text1"/>
        </w:rPr>
        <w:t>:</w:t>
      </w:r>
    </w:p>
    <w:p w14:paraId="7E45306D" w14:textId="4161E141" w:rsidR="00F60FA5" w:rsidRPr="0095697C" w:rsidRDefault="00AE2E6E" w:rsidP="00D0339D">
      <w:pPr>
        <w:spacing w:beforeLines="50" w:afterLines="50" w:after="120"/>
        <w:ind w:left="0" w:firstLine="0"/>
        <w:rPr>
          <w:b/>
          <w:color w:val="000000" w:themeColor="text1"/>
        </w:rPr>
      </w:pPr>
      <w:r w:rsidRPr="0095697C">
        <w:rPr>
          <w:b/>
          <w:color w:val="000000" w:themeColor="text1"/>
        </w:rPr>
        <w:t>Art.</w:t>
      </w:r>
      <w:r w:rsidR="000B75FC" w:rsidRPr="0095697C">
        <w:rPr>
          <w:b/>
          <w:color w:val="000000" w:themeColor="text1"/>
        </w:rPr>
        <w:t xml:space="preserve"> I. </w:t>
      </w:r>
      <w:r w:rsidR="008F6104" w:rsidRPr="0095697C">
        <w:rPr>
          <w:b/>
          <w:color w:val="000000" w:themeColor="text1"/>
        </w:rPr>
        <w:t xml:space="preserve">Legea energiei electrice </w:t>
      </w:r>
      <w:r w:rsidR="00587E78" w:rsidRPr="0095697C">
        <w:rPr>
          <w:b/>
          <w:color w:val="000000" w:themeColor="text1"/>
        </w:rPr>
        <w:t>ș</w:t>
      </w:r>
      <w:r w:rsidR="008F6104" w:rsidRPr="0095697C">
        <w:rPr>
          <w:b/>
          <w:color w:val="000000" w:themeColor="text1"/>
        </w:rPr>
        <w:t>i a gazelor naturale nr. 123/2012, publicată în Monitorul Oficial al României, Partea I nr. 485 din 16 iulie 2012, cu modificările și completările ulterioare, se modifică și se completează după cum urmează:</w:t>
      </w:r>
    </w:p>
    <w:p w14:paraId="02393BDB" w14:textId="41B15A79" w:rsidR="006A491B" w:rsidRPr="0095697C" w:rsidRDefault="008F6104" w:rsidP="00D0339D">
      <w:pPr>
        <w:pStyle w:val="Heading1"/>
        <w:spacing w:beforeLines="50" w:before="120" w:afterLines="50" w:after="120"/>
        <w:contextualSpacing w:val="0"/>
      </w:pPr>
      <w:r w:rsidRPr="0095697C">
        <w:rPr>
          <w:rFonts w:ascii="Times New Roman" w:hAnsi="Times New Roman"/>
        </w:rPr>
        <w:lastRenderedPageBreak/>
        <w:t>La articolul 3, după punctul 1, se introduce un nou punct, pct. 1</w:t>
      </w:r>
      <w:r w:rsidRPr="0095697C">
        <w:rPr>
          <w:rFonts w:ascii="Times New Roman" w:hAnsi="Times New Roman"/>
          <w:vertAlign w:val="superscript"/>
        </w:rPr>
        <w:t>1</w:t>
      </w:r>
      <w:r w:rsidRPr="0095697C">
        <w:rPr>
          <w:rFonts w:ascii="Times New Roman" w:hAnsi="Times New Roman" w:cs="Times New Roman"/>
        </w:rPr>
        <w:t>,</w:t>
      </w:r>
      <w:r w:rsidRPr="0095697C">
        <w:rPr>
          <w:rFonts w:ascii="Times New Roman" w:hAnsi="Times New Roman"/>
        </w:rPr>
        <w:t xml:space="preserve"> cu următorul cuprins:</w:t>
      </w:r>
    </w:p>
    <w:p w14:paraId="1BD3B387" w14:textId="70A84977" w:rsidR="008F6104" w:rsidRPr="0095697C" w:rsidRDefault="004174AA" w:rsidP="00D0339D">
      <w:pPr>
        <w:spacing w:beforeLines="50" w:afterLines="50" w:after="120"/>
        <w:ind w:left="0" w:firstLine="0"/>
        <w:rPr>
          <w:color w:val="000000" w:themeColor="text1"/>
        </w:rPr>
      </w:pPr>
      <w:r w:rsidRPr="0095697C">
        <w:t>”</w:t>
      </w:r>
      <w:r w:rsidR="008F6104" w:rsidRPr="0095697C">
        <w:rPr>
          <w:b/>
          <w:color w:val="000000" w:themeColor="text1"/>
        </w:rPr>
        <w:t>1</w:t>
      </w:r>
      <w:r w:rsidR="008F6104" w:rsidRPr="0095697C">
        <w:rPr>
          <w:b/>
          <w:color w:val="000000" w:themeColor="text1"/>
          <w:vertAlign w:val="superscript"/>
        </w:rPr>
        <w:t>1</w:t>
      </w:r>
      <w:r w:rsidR="008F6104" w:rsidRPr="0095697C">
        <w:rPr>
          <w:b/>
          <w:color w:val="000000" w:themeColor="text1"/>
        </w:rPr>
        <w:t>. acord flexibil de racordare</w:t>
      </w:r>
      <w:r w:rsidR="008F6104" w:rsidRPr="0095697C">
        <w:rPr>
          <w:color w:val="000000" w:themeColor="text1"/>
        </w:rPr>
        <w:t xml:space="preserve"> - un set de condiții convenite pentru racordarea capacității electrice la rețea și pentru utilizarea rețelei cu condiții de limitare și control al </w:t>
      </w:r>
      <w:r w:rsidR="008F6104" w:rsidRPr="0095697C">
        <w:rPr>
          <w:bCs/>
          <w:color w:val="000000" w:themeColor="text1"/>
        </w:rPr>
        <w:t>energiei electrice evacuate în</w:t>
      </w:r>
      <w:r w:rsidR="008F6104" w:rsidRPr="0095697C">
        <w:rPr>
          <w:color w:val="000000" w:themeColor="text1"/>
        </w:rPr>
        <w:t xml:space="preserve"> și</w:t>
      </w:r>
      <w:r w:rsidR="008F6104" w:rsidRPr="0095697C">
        <w:rPr>
          <w:bCs/>
          <w:color w:val="000000" w:themeColor="text1"/>
        </w:rPr>
        <w:t>/sau</w:t>
      </w:r>
      <w:r w:rsidR="008F6104" w:rsidRPr="0095697C">
        <w:rPr>
          <w:color w:val="000000" w:themeColor="text1"/>
        </w:rPr>
        <w:t xml:space="preserve"> al </w:t>
      </w:r>
      <w:r w:rsidR="008F6104" w:rsidRPr="0095697C">
        <w:rPr>
          <w:bCs/>
          <w:color w:val="000000" w:themeColor="text1"/>
        </w:rPr>
        <w:t xml:space="preserve">celei absorbite </w:t>
      </w:r>
      <w:r w:rsidR="008F6104" w:rsidRPr="0095697C">
        <w:rPr>
          <w:color w:val="000000" w:themeColor="text1"/>
        </w:rPr>
        <w:t xml:space="preserve"> din rețeaua de transport sau din rețeaua de distribuție</w:t>
      </w:r>
      <w:r w:rsidR="008F6104" w:rsidRPr="0095697C">
        <w:rPr>
          <w:bCs/>
          <w:color w:val="000000" w:themeColor="text1"/>
        </w:rPr>
        <w:t xml:space="preserve">.” </w:t>
      </w:r>
    </w:p>
    <w:p w14:paraId="13E3FA42" w14:textId="74F3E2CC" w:rsidR="008F6104" w:rsidRPr="0095697C" w:rsidRDefault="008F6104" w:rsidP="00D0339D">
      <w:pPr>
        <w:pStyle w:val="Heading1"/>
        <w:spacing w:beforeLines="50" w:before="120" w:afterLines="50" w:after="120"/>
        <w:contextualSpacing w:val="0"/>
        <w:rPr>
          <w:b w:val="0"/>
        </w:rPr>
      </w:pPr>
      <w:r w:rsidRPr="0095697C">
        <w:rPr>
          <w:rFonts w:ascii="Times New Roman" w:hAnsi="Times New Roman"/>
        </w:rPr>
        <w:t xml:space="preserve">La </w:t>
      </w:r>
      <w:r w:rsidRPr="0095697C">
        <w:rPr>
          <w:rFonts w:ascii="Times New Roman" w:hAnsi="Times New Roman" w:cs="Times New Roman"/>
        </w:rPr>
        <w:t>articolul</w:t>
      </w:r>
      <w:r w:rsidRPr="0095697C">
        <w:rPr>
          <w:rFonts w:ascii="Times New Roman" w:hAnsi="Times New Roman"/>
        </w:rPr>
        <w:t xml:space="preserve"> 3, </w:t>
      </w:r>
      <w:r w:rsidRPr="0095697C">
        <w:rPr>
          <w:rFonts w:ascii="Times New Roman" w:hAnsi="Times New Roman" w:cs="Times New Roman"/>
        </w:rPr>
        <w:t xml:space="preserve">după punctul 5, </w:t>
      </w:r>
      <w:r w:rsidRPr="0095697C">
        <w:rPr>
          <w:rFonts w:ascii="Times New Roman" w:hAnsi="Times New Roman"/>
        </w:rPr>
        <w:t xml:space="preserve">se introduce </w:t>
      </w:r>
      <w:r w:rsidRPr="0095697C">
        <w:rPr>
          <w:rFonts w:ascii="Times New Roman" w:hAnsi="Times New Roman" w:cs="Times New Roman"/>
        </w:rPr>
        <w:t xml:space="preserve">un nou punct, </w:t>
      </w:r>
      <w:r w:rsidRPr="0095697C">
        <w:rPr>
          <w:rFonts w:ascii="Times New Roman" w:hAnsi="Times New Roman"/>
        </w:rPr>
        <w:t>pct. 5</w:t>
      </w:r>
      <w:r w:rsidRPr="0095697C">
        <w:rPr>
          <w:rFonts w:ascii="Times New Roman" w:hAnsi="Times New Roman"/>
          <w:vertAlign w:val="superscript"/>
        </w:rPr>
        <w:t>1</w:t>
      </w:r>
      <w:r w:rsidRPr="0095697C">
        <w:rPr>
          <w:rFonts w:ascii="Times New Roman" w:hAnsi="Times New Roman"/>
        </w:rPr>
        <w:t>, cu următorul cuprins:</w:t>
      </w:r>
    </w:p>
    <w:p w14:paraId="32985E90" w14:textId="0CA552DB" w:rsidR="00896930" w:rsidRPr="0095697C" w:rsidRDefault="00896930" w:rsidP="00D0339D">
      <w:pPr>
        <w:spacing w:beforeLines="50" w:afterLines="50" w:after="120"/>
        <w:ind w:left="0" w:firstLine="0"/>
      </w:pPr>
      <w:r w:rsidRPr="0095697C">
        <w:t>“</w:t>
      </w:r>
      <w:r w:rsidRPr="0095697C">
        <w:rPr>
          <w:b/>
        </w:rPr>
        <w:t>5</w:t>
      </w:r>
      <w:r w:rsidRPr="0095697C">
        <w:rPr>
          <w:b/>
          <w:vertAlign w:val="superscript"/>
        </w:rPr>
        <w:t>1</w:t>
      </w:r>
      <w:r w:rsidRPr="0095697C">
        <w:rPr>
          <w:b/>
        </w:rPr>
        <w:t>. achizitor unic</w:t>
      </w:r>
      <w:r w:rsidRPr="0095697C">
        <w:t xml:space="preserve"> - persoană juridică ce desfășoară activitatea agregare a energie care achiziționează în numele și pe seama operatorilor de distribuție și/sau operatorului de transport și de sistem, energia electrică necesară acoperirii consumului propriu tehnologic aferent rețelelor de distribuție și/sau rețelei de transport de energie electrică și/sau a locurilor de consum proprii ale acestora în scopul asigurării eficienței și stabilității/predictibilității costurilor de achiziție a energiei electrice.”</w:t>
      </w:r>
    </w:p>
    <w:p w14:paraId="6901AE39" w14:textId="79F8B441" w:rsidR="006A491B" w:rsidRPr="0095697C" w:rsidRDefault="00871A1E" w:rsidP="00D0339D">
      <w:pPr>
        <w:pStyle w:val="Heading1"/>
        <w:spacing w:beforeLines="50" w:before="120" w:afterLines="50" w:after="120"/>
        <w:contextualSpacing w:val="0"/>
      </w:pPr>
      <w:r w:rsidRPr="0095697C">
        <w:rPr>
          <w:rFonts w:ascii="Times New Roman" w:hAnsi="Times New Roman"/>
        </w:rPr>
        <w:t>La articolul 3,</w:t>
      </w:r>
      <w:r w:rsidR="002A5E72" w:rsidRPr="0095697C">
        <w:rPr>
          <w:rFonts w:ascii="Times New Roman" w:hAnsi="Times New Roman"/>
        </w:rPr>
        <w:t xml:space="preserve"> </w:t>
      </w:r>
      <w:r w:rsidR="008F6104" w:rsidRPr="0095697C">
        <w:rPr>
          <w:rFonts w:ascii="Times New Roman" w:hAnsi="Times New Roman"/>
        </w:rPr>
        <w:t>punctul 18 va avea următorul cuprins:</w:t>
      </w:r>
    </w:p>
    <w:p w14:paraId="0BEC3DA6" w14:textId="64053566" w:rsidR="008F6104" w:rsidRPr="0095697C" w:rsidRDefault="006A491B" w:rsidP="00D0339D">
      <w:pPr>
        <w:spacing w:beforeLines="50" w:afterLines="50" w:after="120"/>
        <w:ind w:left="0" w:firstLine="0"/>
        <w:rPr>
          <w:color w:val="000000" w:themeColor="text1"/>
        </w:rPr>
      </w:pPr>
      <w:r w:rsidRPr="0095697C">
        <w:rPr>
          <w:color w:val="000000" w:themeColor="text1"/>
        </w:rPr>
        <w:t>”</w:t>
      </w:r>
      <w:r w:rsidR="008F6104" w:rsidRPr="0095697C">
        <w:rPr>
          <w:b/>
          <w:color w:val="000000" w:themeColor="text1"/>
        </w:rPr>
        <w:t>18. client activ</w:t>
      </w:r>
      <w:r w:rsidR="008F6104" w:rsidRPr="0095697C">
        <w:rPr>
          <w:color w:val="000000" w:themeColor="text1"/>
        </w:rPr>
        <w:t xml:space="preserve"> - clientul final sau un grup de clienţi finali ce acţionează împreună, care</w:t>
      </w:r>
      <w:r w:rsidR="008F6104" w:rsidRPr="0095697C">
        <w:rPr>
          <w:rFonts w:asciiTheme="minorHAnsi" w:eastAsiaTheme="minorHAnsi" w:hAnsiTheme="minorHAnsi" w:cstheme="minorBidi"/>
          <w:color w:val="000000" w:themeColor="text1"/>
          <w:kern w:val="2"/>
          <w14:ligatures w14:val="standardContextual"/>
        </w:rPr>
        <w:t>:</w:t>
      </w:r>
      <w:r w:rsidR="008F6104" w:rsidRPr="0095697C">
        <w:rPr>
          <w:color w:val="000000" w:themeColor="text1"/>
        </w:rPr>
        <w:t xml:space="preserve">  </w:t>
      </w:r>
    </w:p>
    <w:p w14:paraId="0105CA1F" w14:textId="088AB1BB" w:rsidR="008F6104" w:rsidRPr="0095697C" w:rsidRDefault="004C18B3" w:rsidP="00D0339D">
      <w:pPr>
        <w:spacing w:beforeLines="50" w:afterLines="50" w:after="120"/>
        <w:ind w:left="0" w:firstLine="0"/>
        <w:rPr>
          <w:color w:val="000000" w:themeColor="text1"/>
        </w:rPr>
      </w:pPr>
      <w:r w:rsidRPr="0095697C">
        <w:rPr>
          <w:bCs/>
          <w:color w:val="000000" w:themeColor="text1"/>
        </w:rPr>
        <w:t xml:space="preserve">a) </w:t>
      </w:r>
      <w:r w:rsidR="008F6104" w:rsidRPr="0095697C">
        <w:rPr>
          <w:color w:val="000000" w:themeColor="text1"/>
        </w:rPr>
        <w:t xml:space="preserve">consumă sau stochează energia electrică produsă în </w:t>
      </w:r>
      <w:r w:rsidRPr="0095697C">
        <w:rPr>
          <w:bCs/>
          <w:color w:val="000000" w:themeColor="text1"/>
        </w:rPr>
        <w:t>spațiile</w:t>
      </w:r>
      <w:r w:rsidR="008F6104" w:rsidRPr="0095697C">
        <w:rPr>
          <w:color w:val="000000" w:themeColor="text1"/>
        </w:rPr>
        <w:t xml:space="preserve"> pe care le </w:t>
      </w:r>
      <w:r w:rsidRPr="0095697C">
        <w:rPr>
          <w:bCs/>
          <w:color w:val="000000" w:themeColor="text1"/>
        </w:rPr>
        <w:t>deține</w:t>
      </w:r>
      <w:r w:rsidR="008F6104" w:rsidRPr="0095697C">
        <w:rPr>
          <w:color w:val="000000" w:themeColor="text1"/>
        </w:rPr>
        <w:t xml:space="preserve"> situate în zone limitate sau</w:t>
      </w:r>
    </w:p>
    <w:p w14:paraId="5627BF4F" w14:textId="067AE9DD" w:rsidR="008F6104" w:rsidRPr="0095697C" w:rsidRDefault="004C18B3" w:rsidP="00D0339D">
      <w:pPr>
        <w:spacing w:beforeLines="50" w:afterLines="50" w:after="120"/>
        <w:ind w:left="0" w:firstLine="0"/>
        <w:rPr>
          <w:color w:val="000000" w:themeColor="text1"/>
        </w:rPr>
      </w:pPr>
      <w:r w:rsidRPr="0095697C">
        <w:rPr>
          <w:bCs/>
          <w:color w:val="000000" w:themeColor="text1"/>
        </w:rPr>
        <w:t xml:space="preserve">b) </w:t>
      </w:r>
      <w:r w:rsidR="008F6104" w:rsidRPr="0095697C">
        <w:rPr>
          <w:color w:val="000000" w:themeColor="text1"/>
        </w:rPr>
        <w:t xml:space="preserve">consumă sau stochează energie electrică autoprodusă sau partajată din cadrul altor zone sau </w:t>
      </w:r>
    </w:p>
    <w:p w14:paraId="4DE30E72" w14:textId="37FC76C2" w:rsidR="008F6104" w:rsidRPr="0095697C" w:rsidRDefault="004C18B3" w:rsidP="00D0339D">
      <w:pPr>
        <w:spacing w:beforeLines="50" w:afterLines="50" w:after="120"/>
        <w:ind w:left="0" w:firstLine="0"/>
        <w:rPr>
          <w:color w:val="000000" w:themeColor="text1"/>
        </w:rPr>
      </w:pPr>
      <w:r w:rsidRPr="0095697C">
        <w:rPr>
          <w:bCs/>
          <w:color w:val="000000" w:themeColor="text1"/>
        </w:rPr>
        <w:t xml:space="preserve">c) </w:t>
      </w:r>
      <w:r w:rsidR="008F6104" w:rsidRPr="0095697C">
        <w:rPr>
          <w:color w:val="000000" w:themeColor="text1"/>
        </w:rPr>
        <w:t xml:space="preserve">vinde energie electrică autoprodusă sau </w:t>
      </w:r>
    </w:p>
    <w:p w14:paraId="1AADFB11" w14:textId="05CE4FCB" w:rsidR="008F6104" w:rsidRPr="0095697C" w:rsidRDefault="004C18B3" w:rsidP="00D0339D">
      <w:pPr>
        <w:spacing w:beforeLines="50" w:afterLines="50" w:after="120"/>
        <w:ind w:left="0" w:firstLine="0"/>
        <w:rPr>
          <w:color w:val="000000" w:themeColor="text1"/>
        </w:rPr>
      </w:pPr>
      <w:r w:rsidRPr="0095697C">
        <w:rPr>
          <w:bCs/>
          <w:color w:val="000000" w:themeColor="text1"/>
        </w:rPr>
        <w:t xml:space="preserve">d) </w:t>
      </w:r>
      <w:r w:rsidR="008F6104" w:rsidRPr="0095697C">
        <w:rPr>
          <w:color w:val="000000" w:themeColor="text1"/>
        </w:rPr>
        <w:t xml:space="preserve">participă la programe de flexibilitate sau de </w:t>
      </w:r>
      <w:r w:rsidRPr="0095697C">
        <w:rPr>
          <w:bCs/>
          <w:color w:val="000000" w:themeColor="text1"/>
        </w:rPr>
        <w:t>eficientă</w:t>
      </w:r>
      <w:r w:rsidR="008F6104" w:rsidRPr="0095697C">
        <w:rPr>
          <w:color w:val="000000" w:themeColor="text1"/>
        </w:rPr>
        <w:t xml:space="preserve"> energetică,</w:t>
      </w:r>
      <w:r w:rsidR="00D0339D" w:rsidRPr="0095697C">
        <w:rPr>
          <w:color w:val="000000" w:themeColor="text1"/>
        </w:rPr>
        <w:t xml:space="preserve"> </w:t>
      </w:r>
      <w:r w:rsidR="008F6104" w:rsidRPr="0095697C">
        <w:rPr>
          <w:color w:val="000000" w:themeColor="text1"/>
        </w:rPr>
        <w:t xml:space="preserve">cu </w:t>
      </w:r>
      <w:r w:rsidR="008F6104" w:rsidRPr="0095697C">
        <w:rPr>
          <w:bCs/>
          <w:color w:val="000000" w:themeColor="text1"/>
        </w:rPr>
        <w:t>condiția</w:t>
      </w:r>
      <w:r w:rsidR="008F6104" w:rsidRPr="0095697C">
        <w:rPr>
          <w:color w:val="000000" w:themeColor="text1"/>
        </w:rPr>
        <w:t xml:space="preserve"> ca </w:t>
      </w:r>
      <w:r w:rsidRPr="0095697C">
        <w:rPr>
          <w:bCs/>
          <w:color w:val="000000" w:themeColor="text1"/>
        </w:rPr>
        <w:t>activitățile</w:t>
      </w:r>
      <w:r w:rsidR="008F6104" w:rsidRPr="0095697C">
        <w:rPr>
          <w:color w:val="000000" w:themeColor="text1"/>
        </w:rPr>
        <w:t xml:space="preserve"> respective să nu constituie principala lor activitate comercială sau profesională</w:t>
      </w:r>
      <w:r w:rsidR="00D90563" w:rsidRPr="0095697C">
        <w:rPr>
          <w:color w:val="000000" w:themeColor="text1"/>
        </w:rPr>
        <w:t>.</w:t>
      </w:r>
      <w:r w:rsidR="008F6104" w:rsidRPr="0095697C">
        <w:rPr>
          <w:color w:val="000000" w:themeColor="text1"/>
        </w:rPr>
        <w:t>”</w:t>
      </w:r>
    </w:p>
    <w:p w14:paraId="6840D2BD" w14:textId="787EEF51" w:rsidR="005B7189" w:rsidRPr="0095697C" w:rsidRDefault="008F6104" w:rsidP="00D0339D">
      <w:pPr>
        <w:pStyle w:val="Heading1"/>
        <w:spacing w:beforeLines="50" w:before="120" w:afterLines="50" w:after="120"/>
        <w:contextualSpacing w:val="0"/>
      </w:pPr>
      <w:r w:rsidRPr="0095697C">
        <w:rPr>
          <w:rFonts w:ascii="Times New Roman" w:hAnsi="Times New Roman"/>
        </w:rPr>
        <w:t>La articolul 3, după punctul 32, se introduce un nou punct, pct. 32</w:t>
      </w:r>
      <w:r w:rsidRPr="0095697C">
        <w:rPr>
          <w:rFonts w:ascii="Times New Roman" w:hAnsi="Times New Roman"/>
          <w:vertAlign w:val="superscript"/>
        </w:rPr>
        <w:t>1</w:t>
      </w:r>
      <w:r w:rsidRPr="0095697C">
        <w:rPr>
          <w:rFonts w:ascii="Times New Roman" w:hAnsi="Times New Roman"/>
        </w:rPr>
        <w:t>, cu următorul cuprins:</w:t>
      </w:r>
    </w:p>
    <w:p w14:paraId="5968E4E8" w14:textId="162FCDC3" w:rsidR="00B03F1D" w:rsidRPr="0095697C" w:rsidRDefault="00D11A9A" w:rsidP="00D0339D">
      <w:pPr>
        <w:spacing w:beforeLines="50" w:afterLines="50" w:after="120"/>
        <w:ind w:left="0" w:firstLine="0"/>
        <w:rPr>
          <w:color w:val="000000" w:themeColor="text1"/>
        </w:rPr>
      </w:pPr>
      <w:r w:rsidRPr="0095697C">
        <w:rPr>
          <w:color w:val="000000" w:themeColor="text1"/>
        </w:rPr>
        <w:t>”</w:t>
      </w:r>
      <w:r w:rsidR="008F6104" w:rsidRPr="0095697C">
        <w:rPr>
          <w:b/>
          <w:color w:val="000000" w:themeColor="text1"/>
        </w:rPr>
        <w:t>32</w:t>
      </w:r>
      <w:r w:rsidR="008F6104" w:rsidRPr="0095697C">
        <w:rPr>
          <w:b/>
          <w:color w:val="000000" w:themeColor="text1"/>
          <w:vertAlign w:val="superscript"/>
        </w:rPr>
        <w:t>1</w:t>
      </w:r>
      <w:r w:rsidR="008F6104" w:rsidRPr="0095697C">
        <w:rPr>
          <w:b/>
          <w:color w:val="000000" w:themeColor="text1"/>
        </w:rPr>
        <w:t>. contract de furnizare a energiei electrice pe durată determinată și cu prețuri fixe</w:t>
      </w:r>
      <w:r w:rsidR="008F6104" w:rsidRPr="0095697C">
        <w:rPr>
          <w:color w:val="000000" w:themeColor="text1"/>
        </w:rPr>
        <w:t xml:space="preserve"> - un contract de furnizare a energiei electrice încheiat între un furnizor și un client final prin care se garantează că clauzele și condițiile contractuale, inclusiv prețul, rămân neschimbate pe durata contractului dar care, pentru un preț fix poate include un element flexibil, conform reglementărilor ANRE, precum variații de preț în perioadele de vârf și în afara perioadelor de vârf. </w:t>
      </w:r>
      <w:r w:rsidR="00405BE5">
        <w:rPr>
          <w:color w:val="000000" w:themeColor="text1"/>
        </w:rPr>
        <w:t xml:space="preserve">Este permisă </w:t>
      </w:r>
      <w:r w:rsidR="00AC4BA1">
        <w:rPr>
          <w:color w:val="000000" w:themeColor="text1"/>
        </w:rPr>
        <w:t>modificarea elementelor reglementate din factura finala</w:t>
      </w:r>
      <w:r w:rsidR="008F6104" w:rsidRPr="0095697C">
        <w:rPr>
          <w:bCs/>
          <w:color w:val="000000" w:themeColor="text1"/>
        </w:rPr>
        <w:t>.”</w:t>
      </w:r>
      <w:r w:rsidR="008F6104" w:rsidRPr="0095697C">
        <w:rPr>
          <w:color w:val="000000" w:themeColor="text1"/>
        </w:rPr>
        <w:t xml:space="preserve"> </w:t>
      </w:r>
    </w:p>
    <w:p w14:paraId="6868C33F" w14:textId="4039EDCC" w:rsidR="00D11A9A" w:rsidRPr="0095697C" w:rsidRDefault="00D90563" w:rsidP="00D0339D">
      <w:pPr>
        <w:pStyle w:val="Heading1"/>
        <w:spacing w:beforeLines="50" w:before="120" w:afterLines="50" w:after="120"/>
        <w:contextualSpacing w:val="0"/>
      </w:pPr>
      <w:r w:rsidRPr="0095697C">
        <w:rPr>
          <w:rFonts w:ascii="Times New Roman" w:hAnsi="Times New Roman"/>
        </w:rPr>
        <w:t>La articolul 3, după punctul 77 se introduce un nou punct, pct. (77</w:t>
      </w:r>
      <w:r w:rsidRPr="0095697C">
        <w:rPr>
          <w:rFonts w:ascii="Times New Roman" w:hAnsi="Times New Roman"/>
          <w:vertAlign w:val="superscript"/>
        </w:rPr>
        <w:t>1</w:t>
      </w:r>
      <w:r w:rsidRPr="0095697C">
        <w:rPr>
          <w:rFonts w:ascii="Times New Roman" w:hAnsi="Times New Roman"/>
        </w:rPr>
        <w:t>), cu următorul cuprins</w:t>
      </w:r>
      <w:r w:rsidR="00D11A9A" w:rsidRPr="0095697C">
        <w:rPr>
          <w:rFonts w:ascii="Times New Roman" w:hAnsi="Times New Roman"/>
        </w:rPr>
        <w:t>:</w:t>
      </w:r>
    </w:p>
    <w:p w14:paraId="0B6FF671" w14:textId="09647B83" w:rsidR="00D90563" w:rsidRPr="0095697C" w:rsidRDefault="00D11A9A" w:rsidP="00D0339D">
      <w:pPr>
        <w:spacing w:beforeLines="50" w:afterLines="50" w:after="120"/>
        <w:ind w:left="0" w:firstLine="0"/>
        <w:rPr>
          <w:color w:val="000000" w:themeColor="text1"/>
        </w:rPr>
      </w:pPr>
      <w:r w:rsidRPr="0095697C">
        <w:rPr>
          <w:bCs/>
          <w:color w:val="000000" w:themeColor="text1"/>
        </w:rPr>
        <w:t>”</w:t>
      </w:r>
      <w:r w:rsidR="00D90563" w:rsidRPr="0095697C">
        <w:rPr>
          <w:b/>
          <w:color w:val="000000" w:themeColor="text1"/>
        </w:rPr>
        <w:t>77</w:t>
      </w:r>
      <w:r w:rsidR="00D90563" w:rsidRPr="0095697C">
        <w:rPr>
          <w:b/>
          <w:color w:val="000000" w:themeColor="text1"/>
          <w:vertAlign w:val="superscript"/>
        </w:rPr>
        <w:t>1</w:t>
      </w:r>
      <w:r w:rsidR="00D90563" w:rsidRPr="0095697C">
        <w:rPr>
          <w:b/>
          <w:color w:val="000000" w:themeColor="text1"/>
        </w:rPr>
        <w:t>. partajare a energiei</w:t>
      </w:r>
      <w:r w:rsidR="00D90563" w:rsidRPr="0095697C">
        <w:rPr>
          <w:color w:val="000000" w:themeColor="text1"/>
        </w:rPr>
        <w:t xml:space="preserve"> - autoconsumul de către clienți activi de energie din surse regenerabile:</w:t>
      </w:r>
    </w:p>
    <w:p w14:paraId="614E1189" w14:textId="6EE3003E" w:rsidR="00D90563" w:rsidRPr="0095697C" w:rsidRDefault="004C18B3" w:rsidP="00D0339D">
      <w:pPr>
        <w:spacing w:beforeLines="50" w:afterLines="50" w:after="120"/>
        <w:ind w:left="0" w:firstLine="0"/>
        <w:rPr>
          <w:color w:val="000000" w:themeColor="text1"/>
        </w:rPr>
      </w:pPr>
      <w:r w:rsidRPr="0095697C">
        <w:rPr>
          <w:color w:val="000000" w:themeColor="text1"/>
        </w:rPr>
        <w:t xml:space="preserve">a) </w:t>
      </w:r>
      <w:r w:rsidR="00D90563" w:rsidRPr="0095697C">
        <w:rPr>
          <w:color w:val="000000" w:themeColor="text1"/>
        </w:rPr>
        <w:t>care este generată sau stocată de către o instalație pe care o au în proprietate, asupra căreia au un drept de concesiune sau au închiriat-o în integralitate sau parțial; sau</w:t>
      </w:r>
    </w:p>
    <w:p w14:paraId="31367708" w14:textId="158D3872" w:rsidR="00D90563" w:rsidRPr="0095697C" w:rsidRDefault="004C18B3" w:rsidP="00D0339D">
      <w:pPr>
        <w:spacing w:beforeLines="50" w:afterLines="50" w:after="120"/>
        <w:ind w:left="0" w:firstLine="0"/>
        <w:rPr>
          <w:color w:val="000000" w:themeColor="text1"/>
        </w:rPr>
      </w:pPr>
      <w:r w:rsidRPr="0095697C">
        <w:rPr>
          <w:color w:val="000000" w:themeColor="text1"/>
        </w:rPr>
        <w:t xml:space="preserve">b) </w:t>
      </w:r>
      <w:r w:rsidR="00D90563" w:rsidRPr="0095697C">
        <w:rPr>
          <w:color w:val="000000" w:themeColor="text1"/>
        </w:rPr>
        <w:t>asupra căreia dreptul le-a fost transferat de către un alt client activ, cu titlu gratuit sau oneros.”</w:t>
      </w:r>
    </w:p>
    <w:p w14:paraId="169AE727" w14:textId="599B7D76" w:rsidR="004B566D" w:rsidRPr="0095697C" w:rsidRDefault="00D90563" w:rsidP="00D0339D">
      <w:pPr>
        <w:pStyle w:val="Heading1"/>
        <w:spacing w:beforeLines="50" w:before="120" w:afterLines="50" w:after="120"/>
        <w:contextualSpacing w:val="0"/>
      </w:pPr>
      <w:r w:rsidRPr="0095697C">
        <w:rPr>
          <w:rFonts w:ascii="Times New Roman" w:hAnsi="Times New Roman"/>
        </w:rPr>
        <w:t>La articolul 3, după punctul 95 se introduce un nou punct, pct. 95</w:t>
      </w:r>
      <w:r w:rsidRPr="0095697C">
        <w:rPr>
          <w:rFonts w:ascii="Times New Roman" w:hAnsi="Times New Roman"/>
          <w:vertAlign w:val="superscript"/>
        </w:rPr>
        <w:t>1</w:t>
      </w:r>
      <w:r w:rsidRPr="0095697C">
        <w:rPr>
          <w:rFonts w:ascii="Times New Roman" w:hAnsi="Times New Roman"/>
        </w:rPr>
        <w:t xml:space="preserve"> cu următorul cuprins:</w:t>
      </w:r>
    </w:p>
    <w:p w14:paraId="591D4EAF" w14:textId="67FE30B7" w:rsidR="00D90563" w:rsidRPr="0095697C" w:rsidRDefault="00D90563" w:rsidP="00D0339D">
      <w:pPr>
        <w:spacing w:beforeLines="50" w:afterLines="50" w:after="120"/>
        <w:ind w:left="0" w:firstLine="0"/>
        <w:rPr>
          <w:color w:val="000000" w:themeColor="text1"/>
        </w:rPr>
      </w:pPr>
      <w:r w:rsidRPr="0095697C">
        <w:rPr>
          <w:color w:val="000000" w:themeColor="text1"/>
        </w:rPr>
        <w:lastRenderedPageBreak/>
        <w:t>”</w:t>
      </w:r>
      <w:r w:rsidRPr="0095697C">
        <w:rPr>
          <w:b/>
          <w:color w:val="000000" w:themeColor="text1"/>
        </w:rPr>
        <w:t>95</w:t>
      </w:r>
      <w:r w:rsidRPr="0095697C">
        <w:rPr>
          <w:b/>
          <w:color w:val="000000" w:themeColor="text1"/>
          <w:vertAlign w:val="superscript"/>
        </w:rPr>
        <w:t>1</w:t>
      </w:r>
      <w:r w:rsidRPr="0095697C">
        <w:rPr>
          <w:b/>
          <w:color w:val="000000" w:themeColor="text1"/>
        </w:rPr>
        <w:t xml:space="preserve">. prosumatori care </w:t>
      </w:r>
      <w:r w:rsidR="004C18B3" w:rsidRPr="0095697C">
        <w:rPr>
          <w:b/>
          <w:color w:val="000000" w:themeColor="text1"/>
        </w:rPr>
        <w:t>acționează</w:t>
      </w:r>
      <w:r w:rsidRPr="0095697C">
        <w:rPr>
          <w:b/>
          <w:color w:val="000000" w:themeColor="text1"/>
        </w:rPr>
        <w:t xml:space="preserve"> în mod colectiv</w:t>
      </w:r>
      <w:r w:rsidRPr="0095697C">
        <w:rPr>
          <w:color w:val="000000" w:themeColor="text1"/>
        </w:rPr>
        <w:t xml:space="preserve"> – definit în conformitate cu art. 2 pct. 17 din Ordonanța de urgență nr. 163/2022, cu modificările și completările ulterioare</w:t>
      </w:r>
      <w:r w:rsidRPr="0095697C">
        <w:rPr>
          <w:bCs/>
          <w:color w:val="000000" w:themeColor="text1"/>
        </w:rPr>
        <w:t>.”</w:t>
      </w:r>
    </w:p>
    <w:p w14:paraId="5B205C98" w14:textId="013E4E50" w:rsidR="00D90563" w:rsidRPr="0095697C" w:rsidRDefault="00D90563" w:rsidP="00D0339D">
      <w:pPr>
        <w:pStyle w:val="Heading1"/>
        <w:spacing w:beforeLines="50" w:before="120" w:afterLines="50" w:after="120"/>
        <w:contextualSpacing w:val="0"/>
      </w:pPr>
      <w:r w:rsidRPr="0095697C">
        <w:rPr>
          <w:rFonts w:ascii="Times New Roman" w:hAnsi="Times New Roman"/>
        </w:rPr>
        <w:t>La articolul 7</w:t>
      </w:r>
      <w:r w:rsidRPr="0095697C">
        <w:rPr>
          <w:rFonts w:ascii="Times New Roman" w:hAnsi="Times New Roman"/>
          <w:vertAlign w:val="superscript"/>
        </w:rPr>
        <w:t>1</w:t>
      </w:r>
      <w:r w:rsidRPr="0095697C">
        <w:rPr>
          <w:rFonts w:ascii="Times New Roman" w:hAnsi="Times New Roman"/>
        </w:rPr>
        <w:t>, după alineatul (1</w:t>
      </w:r>
      <w:r w:rsidRPr="0095697C">
        <w:rPr>
          <w:rFonts w:ascii="Times New Roman" w:hAnsi="Times New Roman"/>
          <w:vertAlign w:val="superscript"/>
        </w:rPr>
        <w:t>3</w:t>
      </w:r>
      <w:r w:rsidRPr="0095697C">
        <w:rPr>
          <w:rFonts w:ascii="Times New Roman" w:hAnsi="Times New Roman"/>
        </w:rPr>
        <w:t xml:space="preserve">) se introduc două noi alineate, </w:t>
      </w:r>
      <w:r w:rsidRPr="0095697C">
        <w:rPr>
          <w:rFonts w:ascii="Times New Roman" w:hAnsi="Times New Roman" w:cs="Times New Roman"/>
        </w:rPr>
        <w:t>alin.</w:t>
      </w:r>
      <w:r w:rsidRPr="0095697C">
        <w:rPr>
          <w:rFonts w:ascii="Times New Roman" w:hAnsi="Times New Roman"/>
        </w:rPr>
        <w:t xml:space="preserve"> (1</w:t>
      </w:r>
      <w:r w:rsidRPr="0095697C">
        <w:rPr>
          <w:rFonts w:ascii="Times New Roman" w:hAnsi="Times New Roman"/>
          <w:vertAlign w:val="superscript"/>
        </w:rPr>
        <w:t>4</w:t>
      </w:r>
      <w:r w:rsidRPr="0095697C">
        <w:rPr>
          <w:rFonts w:ascii="Times New Roman" w:hAnsi="Times New Roman" w:cs="Times New Roman"/>
        </w:rPr>
        <w:t>)-(</w:t>
      </w:r>
      <w:r w:rsidRPr="0095697C">
        <w:rPr>
          <w:rFonts w:ascii="Times New Roman" w:hAnsi="Times New Roman"/>
        </w:rPr>
        <w:t>1</w:t>
      </w:r>
      <w:r w:rsidRPr="0095697C">
        <w:rPr>
          <w:rFonts w:ascii="Times New Roman" w:hAnsi="Times New Roman"/>
          <w:vertAlign w:val="superscript"/>
        </w:rPr>
        <w:t>5</w:t>
      </w:r>
      <w:r w:rsidRPr="0095697C">
        <w:rPr>
          <w:rFonts w:ascii="Times New Roman" w:hAnsi="Times New Roman"/>
        </w:rPr>
        <w:t>), cu următorul cuprins:</w:t>
      </w:r>
    </w:p>
    <w:p w14:paraId="7D028CBB" w14:textId="7A1FA5D3" w:rsidR="00D90563" w:rsidRPr="0095697C" w:rsidRDefault="00D90563" w:rsidP="00D0339D">
      <w:pPr>
        <w:spacing w:beforeLines="50" w:afterLines="50" w:after="120"/>
        <w:ind w:left="0" w:firstLine="0"/>
        <w:rPr>
          <w:color w:val="000000" w:themeColor="text1"/>
        </w:rPr>
      </w:pPr>
      <w:r w:rsidRPr="0095697C">
        <w:rPr>
          <w:bCs/>
          <w:color w:val="000000" w:themeColor="text1"/>
        </w:rPr>
        <w:t>”(</w:t>
      </w:r>
      <w:r w:rsidRPr="0095697C">
        <w:rPr>
          <w:color w:val="000000" w:themeColor="text1"/>
        </w:rPr>
        <w:t>1</w:t>
      </w:r>
      <w:r w:rsidRPr="0095697C">
        <w:rPr>
          <w:color w:val="000000" w:themeColor="text1"/>
          <w:vertAlign w:val="superscript"/>
        </w:rPr>
        <w:t>4</w:t>
      </w:r>
      <w:r w:rsidRPr="0095697C">
        <w:rPr>
          <w:color w:val="000000" w:themeColor="text1"/>
        </w:rPr>
        <w:t>)</w:t>
      </w:r>
      <w:r w:rsidRPr="0095697C">
        <w:rPr>
          <w:color w:val="000000" w:themeColor="text1"/>
        </w:rPr>
        <w:tab/>
        <w:t xml:space="preserve">ANRE, în strânsă colaborare cu celelalte autorități de reglementare din statele membre, asigură respectarea de către platforma unică de alocare instituită în conformitate cu Regulamentul (UE) 2016/1719 al Comisiei, de către ENTSO-E și de către Organizația pentru Cooperarea Operatorilor de Distribuție din Uniunea Europeană, denumită, în continuare, </w:t>
      </w:r>
      <w:r w:rsidRPr="0095697C">
        <w:rPr>
          <w:i/>
          <w:color w:val="000000" w:themeColor="text1"/>
        </w:rPr>
        <w:t>”entitatea OSD UE”</w:t>
      </w:r>
      <w:r w:rsidRPr="0095697C">
        <w:rPr>
          <w:color w:val="000000" w:themeColor="text1"/>
        </w:rPr>
        <w:t>, a obligațiilor care le revin potrivit prezentei legi, Regulamentului (UE) 2019/943, codurilor de rețea și orientărilor adoptate de către Comisia Europeană în temeiul art. 59 - 61 din Regulamentul (UE) 2019/943, inclusiv în ceea ce privește aspectele transfrontaliere, precum și a deciziilor ACER, și identifică în comun nerespectarea de către platforma unică de alocare, de către ENTSO-E pentru energie electrică și de către entitatea OSD UE a obligațiilor care le revin. În cazul în care autoritățile de reglementare nu au reușit să ajungă la un acord în termen de patru luni de la începerea consultărilor în scopul identificării în comun a neconformității, speța este înaintată ACER în vederea adoptării unei decizii, în temeiul art. 6 alin. (10) din Regulamentul (UE) 2019/942 al Parlamentului European și al Consiliului din 5 iunie 2019 de instituire a Agenției Uniunii Europene pentru Cooperarea Autorităților de Reglementare din Domeniul Energiei.</w:t>
      </w:r>
    </w:p>
    <w:p w14:paraId="038D1022" w14:textId="719AF7AB" w:rsidR="00D90563" w:rsidRPr="0095697C" w:rsidRDefault="00D90563"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w:t>
      </w:r>
      <w:r w:rsidRPr="0095697C">
        <w:rPr>
          <w:color w:val="000000" w:themeColor="text1"/>
          <w:vertAlign w:val="superscript"/>
        </w:rPr>
        <w:t>5</w:t>
      </w:r>
      <w:r w:rsidRPr="0095697C">
        <w:rPr>
          <w:color w:val="000000" w:themeColor="text1"/>
        </w:rPr>
        <w:t>) ANRE monitorizează eliminarea obstacolelor și a restricțiilor nejustificate din calea dezvoltării consumului de energie electrică autoprodusă, a partajării de energie, a comunităților de energie din surse regenerabile și a comunităților de energie ale cetățenilor, inclusiv a obstacolelor și a restricțiilor care împiedică racordarea producției flexibile de energie distribuită într-un termen rezonabil</w:t>
      </w:r>
      <w:r w:rsidRPr="0095697C">
        <w:rPr>
          <w:bCs/>
          <w:color w:val="000000" w:themeColor="text1"/>
        </w:rPr>
        <w:t>.”</w:t>
      </w:r>
    </w:p>
    <w:p w14:paraId="60C6E318" w14:textId="483F135E" w:rsidR="00D90563" w:rsidRPr="0095697C" w:rsidRDefault="00D90563" w:rsidP="00D0339D">
      <w:pPr>
        <w:pStyle w:val="Heading1"/>
        <w:spacing w:beforeLines="50" w:before="120" w:afterLines="50" w:after="120"/>
        <w:contextualSpacing w:val="0"/>
        <w:rPr>
          <w:b w:val="0"/>
        </w:rPr>
      </w:pPr>
      <w:r w:rsidRPr="0095697C">
        <w:rPr>
          <w:rFonts w:ascii="Times New Roman" w:hAnsi="Times New Roman"/>
        </w:rPr>
        <w:t>La articolul 7</w:t>
      </w:r>
      <w:r w:rsidRPr="0095697C">
        <w:rPr>
          <w:rFonts w:ascii="Times New Roman" w:hAnsi="Times New Roman"/>
          <w:vertAlign w:val="superscript"/>
        </w:rPr>
        <w:t>1</w:t>
      </w:r>
      <w:r w:rsidRPr="0095697C">
        <w:rPr>
          <w:rFonts w:ascii="Times New Roman" w:hAnsi="Times New Roman"/>
        </w:rPr>
        <w:t>, după alineatul (10) se introduce un nou alineat, alin. (11), cu următorul cuprins:</w:t>
      </w:r>
    </w:p>
    <w:p w14:paraId="6A754DEB" w14:textId="49E66042" w:rsidR="00D90563" w:rsidRPr="0095697C" w:rsidRDefault="00D90563" w:rsidP="00D0339D">
      <w:pPr>
        <w:spacing w:beforeLines="50" w:afterLines="50" w:after="120"/>
        <w:ind w:left="0" w:firstLine="0"/>
        <w:rPr>
          <w:color w:val="000000" w:themeColor="text1"/>
        </w:rPr>
      </w:pPr>
      <w:r w:rsidRPr="0095697C">
        <w:rPr>
          <w:color w:val="000000" w:themeColor="text1"/>
        </w:rPr>
        <w:t>”(11) Începând cu anul 2026, ANRE monitorizează și evaluează performanța operatorilor de transport și de sistem și a operatorilor de distribuție în legătură cu dezvoltarea unei rețele inteligente care să promoveze eficiența energetică și integrarea energiei din surse regenerabile pe baza unui set limitat de indicatori stabilit de  ANRE și publică, la fiecare doi ani, un raport național care să includă recomandări.”</w:t>
      </w:r>
    </w:p>
    <w:p w14:paraId="6F986EB4" w14:textId="2BCB47C5" w:rsidR="00D90563" w:rsidRPr="0095697C" w:rsidRDefault="00D90563" w:rsidP="00D0339D">
      <w:pPr>
        <w:pStyle w:val="Heading1"/>
        <w:spacing w:beforeLines="50" w:before="120" w:afterLines="50" w:after="120"/>
        <w:contextualSpacing w:val="0"/>
      </w:pPr>
      <w:r w:rsidRPr="0095697C">
        <w:rPr>
          <w:rFonts w:ascii="Times New Roman" w:hAnsi="Times New Roman"/>
        </w:rPr>
        <w:t>Articolul 7</w:t>
      </w:r>
      <w:r w:rsidRPr="0095697C">
        <w:rPr>
          <w:rFonts w:ascii="Times New Roman" w:hAnsi="Times New Roman"/>
          <w:vertAlign w:val="superscript"/>
        </w:rPr>
        <w:t>5</w:t>
      </w:r>
      <w:r w:rsidRPr="0095697C">
        <w:rPr>
          <w:rFonts w:ascii="Times New Roman" w:hAnsi="Times New Roman"/>
        </w:rPr>
        <w:t xml:space="preserve"> va avea </w:t>
      </w:r>
      <w:r w:rsidRPr="0095697C">
        <w:rPr>
          <w:rFonts w:ascii="Times New Roman" w:hAnsi="Times New Roman" w:cs="Times New Roman"/>
        </w:rPr>
        <w:t>următorul</w:t>
      </w:r>
      <w:r w:rsidRPr="0095697C">
        <w:rPr>
          <w:rFonts w:ascii="Times New Roman" w:hAnsi="Times New Roman"/>
        </w:rPr>
        <w:t xml:space="preserve"> cuprins:</w:t>
      </w:r>
    </w:p>
    <w:p w14:paraId="43489634" w14:textId="1D60458E" w:rsidR="00D90563" w:rsidRPr="0095697C" w:rsidRDefault="00D90563" w:rsidP="00D0339D">
      <w:pPr>
        <w:spacing w:beforeLines="50" w:afterLines="50" w:after="120"/>
        <w:ind w:left="0" w:firstLine="0"/>
      </w:pPr>
      <w:r w:rsidRPr="0095697C">
        <w:rPr>
          <w:bCs/>
          <w:color w:val="000000" w:themeColor="text1"/>
        </w:rPr>
        <w:t>”</w:t>
      </w:r>
      <w:r w:rsidRPr="0095697C">
        <w:t>(1) ANRE monitorizează evoluţiile pieţei, evaluează riscurile pe care le pot implica ofertele şi contractele de furnizare a energiei electrice la preţuri dinamice si cele pe durată determinată și cu prețuri fixe,  ia măsuri în privinţa practicilor abuzive și în cazul în care sunt identificate comisioane pentru încetarea contractului inadmisibile în conformitate cu art. 62 alin. (6) și (7).</w:t>
      </w:r>
    </w:p>
    <w:p w14:paraId="52B72474"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 xml:space="preserve">(2) ANRE monitorizează şi publică un raport anual, până în data de 31 iulie, privind principalele noutăţi legate de contractele cu preturi dinamice, inclusiv ofertele de pe piaţă cu preţuri dinamice </w:t>
      </w:r>
      <w:r w:rsidRPr="0095697C">
        <w:lastRenderedPageBreak/>
        <w:t>şi impactul asupra facturilor consumatorilor şi, în mod expres, cu privire la nivelul volatilităţii preţurilor.</w:t>
      </w:r>
    </w:p>
    <w:p w14:paraId="56FE4EA1" w14:textId="12B3A74D" w:rsidR="00D90563" w:rsidRPr="0095697C" w:rsidRDefault="00D90563" w:rsidP="00D0339D">
      <w:pPr>
        <w:spacing w:beforeLines="50" w:afterLines="50" w:after="120"/>
        <w:ind w:left="0" w:firstLine="0"/>
      </w:pPr>
      <w:bookmarkStart w:id="3" w:name="_Hlk219205769"/>
      <w:r w:rsidRPr="0095697C">
        <w:t xml:space="preserve">(3) Raportul menţionat la alin. (2) se realizează timp de 10 ani de la </w:t>
      </w:r>
      <w:r w:rsidR="00042B2F">
        <w:t>data la</w:t>
      </w:r>
      <w:r w:rsidRPr="0095697C">
        <w:t xml:space="preserve"> care </w:t>
      </w:r>
      <w:r w:rsidR="00042B2F">
        <w:t xml:space="preserve">se încheie </w:t>
      </w:r>
      <w:r w:rsidRPr="0095697C">
        <w:t>contract</w:t>
      </w:r>
      <w:r w:rsidR="00042B2F">
        <w:t>ul</w:t>
      </w:r>
      <w:r w:rsidRPr="0095697C">
        <w:t xml:space="preserve"> de furnizare a</w:t>
      </w:r>
      <w:r w:rsidR="00042B2F">
        <w:t>l</w:t>
      </w:r>
      <w:r w:rsidRPr="0095697C">
        <w:t xml:space="preserve"> energiei electrice cu preţuri dinamice.</w:t>
      </w:r>
    </w:p>
    <w:bookmarkEnd w:id="3"/>
    <w:p w14:paraId="751B642E"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(4) ANRE, ținând seama de dimensiunea furnizorului sau de structura pieței și inclusiv, dacă este cazul, prin efectuarea de simulări de criză, se asigură că furnizorii:</w:t>
      </w:r>
    </w:p>
    <w:p w14:paraId="36DF35EB" w14:textId="77777777" w:rsidR="00D90563" w:rsidRPr="0095697C" w:rsidRDefault="00D90563" w:rsidP="00D0339D">
      <w:pPr>
        <w:spacing w:beforeLines="50" w:afterLines="50" w:after="120"/>
        <w:ind w:left="0" w:firstLine="0"/>
      </w:pPr>
      <w:r w:rsidRPr="0095697C">
        <w:t>a) dispun de strategii adecvate de acoperire a riscului, pe care le pun în aplicare pentru a limita riscul de modificare a furnizării angro de energie electrică la viabilitatea economică a contractelor lor cu clienții, menținând în același timp lichiditatea și semnalele de preț de pe piețele pe termen scurt;</w:t>
      </w:r>
    </w:p>
    <w:p w14:paraId="2C243FEE" w14:textId="77777777" w:rsidR="00D90563" w:rsidRPr="0095697C" w:rsidRDefault="00D90563" w:rsidP="00D0339D">
      <w:pPr>
        <w:spacing w:beforeLines="50" w:afterLines="50" w:after="120"/>
        <w:ind w:left="0" w:firstLine="0"/>
      </w:pPr>
      <w:r w:rsidRPr="0095697C">
        <w:t>b) iau toate măsurile rezonabile pentru a-și limita riscul de întrerupere a aprovizionării.</w:t>
      </w:r>
    </w:p>
    <w:p w14:paraId="05B552D9"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(5) Strategiile de acoperire a riscului pot include utilizarea contractelor de achiziție de energie electrică, astfel cum sunt definite la art. 2 pct. 77 din Regulamentul (UE) 2019/943, sau a altor instrumente adecvate, cum ar fi contracte de tip forward.</w:t>
      </w:r>
    </w:p>
    <w:p w14:paraId="482286C1" w14:textId="4DC59C3D" w:rsidR="00D90563" w:rsidRPr="0095697C" w:rsidRDefault="00D90563" w:rsidP="00D0339D">
      <w:pPr>
        <w:spacing w:beforeLines="50" w:afterLines="50" w:after="120"/>
        <w:ind w:left="0" w:firstLine="0"/>
      </w:pPr>
      <w:bookmarkStart w:id="4" w:name="_Hlk219196613"/>
      <w:r w:rsidRPr="0095697C">
        <w:t>(6) Cadrul legislativ asigură accesibilitatea produselor de acoperire a riscului și pentru comunitățile de energie ale cetățenilor și pentru comunitățile de energie din surse regenerabile.”</w:t>
      </w:r>
    </w:p>
    <w:bookmarkEnd w:id="4"/>
    <w:p w14:paraId="1E5F4F93" w14:textId="17300430" w:rsidR="00FA15E6" w:rsidRPr="0095697C" w:rsidRDefault="00FA15E6" w:rsidP="00FA15E6">
      <w:pPr>
        <w:pStyle w:val="Heading1"/>
        <w:spacing w:beforeLines="50" w:before="120" w:afterLines="50" w:after="120"/>
        <w:ind w:left="450" w:hanging="450"/>
        <w:contextualSpacing w:val="0"/>
      </w:pPr>
      <w:r w:rsidRPr="0095697C">
        <w:rPr>
          <w:rFonts w:ascii="Times New Roman" w:hAnsi="Times New Roman"/>
        </w:rPr>
        <w:t>La articolul 8, după alineatul (3) se introduce un nou alineate, alin. (4), cu următorul cuprins:</w:t>
      </w:r>
    </w:p>
    <w:p w14:paraId="0B7DFF0E" w14:textId="4F7161BC" w:rsidR="00FA15E6" w:rsidRPr="008C2E30" w:rsidRDefault="00FA15E6" w:rsidP="00D90563">
      <w:pPr>
        <w:spacing w:beforeLines="50" w:afterLines="50" w:after="120"/>
        <w:ind w:left="0" w:firstLine="0"/>
      </w:pPr>
      <w:r w:rsidRPr="0095697C">
        <w:t>”(4) Prin derogare de la prevederile art. 8 alin. (2) titularul unei autorizații de înființare acordare de ANRE, deținător al unor capacități de producere a energiei electrice și/sau a unei instalații de stocare noi sau retehnologizare, are dreptul să producă, să evacueze în rețea și să vândă energia electrică produsă sau stocată pe piața de energie electrică, până la data acordării licenței prevăzute la art. 10 alin. (2) lit. a), b) sau i), dar nu mai mult de 60 de zile de la data emiterii certificatului de racordare, cu obligația respectării prevederilor art. 21 alin. (2), a programului de probe stabilit cu operatorul de rețea și a tuturor reglementărilor tehnice și comerciale incidente. Autorizația de înființare emisă de ANRE se prelungește automat pe durata executării acestui drept, cu excepția situațiilor în care titularul autorizației de înființare încalcă obligațiile legale ce îi revin, caz în care ANRE întreprinde măsurile legale care se impun.</w:t>
      </w:r>
      <w:r w:rsidRPr="008C2E30">
        <w:t>”</w:t>
      </w:r>
    </w:p>
    <w:p w14:paraId="1BAA2B48" w14:textId="77777777" w:rsidR="003A4584" w:rsidRPr="0095697C" w:rsidRDefault="003A4584" w:rsidP="003A4584">
      <w:pPr>
        <w:pStyle w:val="Heading1"/>
        <w:spacing w:beforeLines="50" w:before="120" w:afterLines="50" w:after="120"/>
        <w:contextualSpacing w:val="0"/>
      </w:pPr>
      <w:r w:rsidRPr="0095697C">
        <w:rPr>
          <w:rFonts w:ascii="Times New Roman" w:hAnsi="Times New Roman"/>
        </w:rPr>
        <w:t xml:space="preserve">La articolul </w:t>
      </w:r>
      <w:r w:rsidRPr="0095697C">
        <w:rPr>
          <w:rFonts w:ascii="Times New Roman" w:hAnsi="Times New Roman" w:cs="Times New Roman"/>
        </w:rPr>
        <w:t>10</w:t>
      </w:r>
      <w:r w:rsidRPr="0095697C">
        <w:rPr>
          <w:rFonts w:ascii="Times New Roman" w:hAnsi="Times New Roman"/>
        </w:rPr>
        <w:t>, după alineatul (</w:t>
      </w:r>
      <w:r w:rsidRPr="0095697C">
        <w:rPr>
          <w:rFonts w:ascii="Times New Roman" w:hAnsi="Times New Roman" w:cs="Times New Roman"/>
        </w:rPr>
        <w:t>5</w:t>
      </w:r>
      <w:r w:rsidRPr="0095697C">
        <w:rPr>
          <w:rFonts w:ascii="Times New Roman" w:hAnsi="Times New Roman" w:cs="Times New Roman"/>
          <w:vertAlign w:val="superscript"/>
        </w:rPr>
        <w:t>3</w:t>
      </w:r>
      <w:r w:rsidRPr="0095697C">
        <w:rPr>
          <w:rFonts w:ascii="Times New Roman" w:hAnsi="Times New Roman"/>
        </w:rPr>
        <w:t xml:space="preserve">) se </w:t>
      </w:r>
      <w:r w:rsidRPr="0095697C">
        <w:rPr>
          <w:rFonts w:ascii="Times New Roman" w:hAnsi="Times New Roman" w:cs="Times New Roman"/>
        </w:rPr>
        <w:t>introduce</w:t>
      </w:r>
      <w:r w:rsidRPr="0095697C">
        <w:rPr>
          <w:rFonts w:ascii="Times New Roman" w:hAnsi="Times New Roman"/>
        </w:rPr>
        <w:t xml:space="preserve"> un nou alineat, alin. (</w:t>
      </w:r>
      <w:r w:rsidRPr="0095697C">
        <w:rPr>
          <w:rFonts w:ascii="Times New Roman" w:hAnsi="Times New Roman" w:cs="Times New Roman"/>
        </w:rPr>
        <w:t>5</w:t>
      </w:r>
      <w:r w:rsidRPr="0095697C">
        <w:rPr>
          <w:rFonts w:ascii="Times New Roman" w:hAnsi="Times New Roman" w:cs="Times New Roman"/>
          <w:vertAlign w:val="superscript"/>
        </w:rPr>
        <w:t>4</w:t>
      </w:r>
      <w:r w:rsidRPr="0095697C">
        <w:rPr>
          <w:rFonts w:ascii="Times New Roman" w:hAnsi="Times New Roman"/>
        </w:rPr>
        <w:t>), cu următorul cuprins:</w:t>
      </w:r>
    </w:p>
    <w:p w14:paraId="626D718D" w14:textId="5F7F1A0C" w:rsidR="003A4584" w:rsidRPr="0095697C" w:rsidRDefault="003A4584" w:rsidP="00D90563">
      <w:pPr>
        <w:spacing w:beforeLines="50" w:afterLines="50" w:after="120"/>
        <w:ind w:left="0" w:firstLine="0"/>
      </w:pPr>
      <w:r w:rsidRPr="0095697C">
        <w:rPr>
          <w:bCs/>
          <w:color w:val="000000" w:themeColor="text1"/>
        </w:rPr>
        <w:t>”</w:t>
      </w:r>
      <w:r w:rsidRPr="0095697C">
        <w:t>(5</w:t>
      </w:r>
      <w:r w:rsidRPr="0095697C">
        <w:rPr>
          <w:vertAlign w:val="superscript"/>
        </w:rPr>
        <w:t>4</w:t>
      </w:r>
      <w:r w:rsidRPr="0095697C">
        <w:t>) Prin derogare de la prevederile art. 8 alin. (2), pe o durată de maxim 60 de zile de la data finalizării perioadei de probe prin obținerea certificatului de conformitate cu cerințele tehnice de la operatorul de rețea, titularul unei autorizații de înființare acordate de ANRE deținător al unor capacități de producere a energiei electrice și/sau a unei instalații de stocare noi sau retehnologizate are dreptul să producă, să evacueze în rețea și să vândă energia electrică produsă sau stocată pe piața de energie electrică, cu condiția respectării prevederilor alin. (5</w:t>
      </w:r>
      <w:r w:rsidRPr="0095697C">
        <w:rPr>
          <w:vertAlign w:val="superscript"/>
        </w:rPr>
        <w:t>1</w:t>
      </w:r>
      <w:r w:rsidRPr="0095697C">
        <w:t xml:space="preserve">) și ale art. 21 alin. (2) și </w:t>
      </w:r>
      <w:r w:rsidRPr="0095697C">
        <w:lastRenderedPageBreak/>
        <w:t>înregistrării la ANRE a solicitării de acordare a licenței. ANRE poate dispune suspendarea acestui drept dacă se constată neîndeplinirea condițiilor legale sau tehnice.”</w:t>
      </w:r>
    </w:p>
    <w:p w14:paraId="43664AF1" w14:textId="04C20118" w:rsidR="00D90563" w:rsidRPr="0095697C" w:rsidRDefault="00D90563" w:rsidP="00D0339D">
      <w:pPr>
        <w:pStyle w:val="Heading1"/>
        <w:spacing w:beforeLines="50" w:before="120" w:afterLines="50" w:after="120"/>
        <w:ind w:left="450" w:hanging="450"/>
        <w:contextualSpacing w:val="0"/>
      </w:pPr>
      <w:r w:rsidRPr="0095697C">
        <w:rPr>
          <w:rFonts w:ascii="Times New Roman" w:hAnsi="Times New Roman"/>
        </w:rPr>
        <w:t>La articolul 25, după alineatul (1) se introduc trei noi alineate, alin. (1</w:t>
      </w:r>
      <w:r w:rsidRPr="0095697C">
        <w:rPr>
          <w:rFonts w:ascii="Times New Roman" w:hAnsi="Times New Roman"/>
          <w:vertAlign w:val="superscript"/>
        </w:rPr>
        <w:t>1</w:t>
      </w:r>
      <w:r w:rsidRPr="0095697C">
        <w:rPr>
          <w:rFonts w:ascii="Times New Roman" w:hAnsi="Times New Roman" w:cs="Times New Roman"/>
        </w:rPr>
        <w:t>)-(</w:t>
      </w:r>
      <w:r w:rsidRPr="0095697C">
        <w:rPr>
          <w:rFonts w:ascii="Times New Roman" w:hAnsi="Times New Roman"/>
        </w:rPr>
        <w:t>1</w:t>
      </w:r>
      <w:r w:rsidRPr="0095697C">
        <w:rPr>
          <w:rFonts w:ascii="Times New Roman" w:hAnsi="Times New Roman"/>
          <w:vertAlign w:val="superscript"/>
        </w:rPr>
        <w:t>3</w:t>
      </w:r>
      <w:r w:rsidRPr="0095697C">
        <w:rPr>
          <w:rFonts w:ascii="Times New Roman" w:hAnsi="Times New Roman"/>
        </w:rPr>
        <w:t>), cu următorul cuprins:</w:t>
      </w:r>
    </w:p>
    <w:p w14:paraId="4655E3F5"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(1</w:t>
      </w:r>
      <w:r w:rsidRPr="0095697C">
        <w:rPr>
          <w:vertAlign w:val="superscript"/>
        </w:rPr>
        <w:t>1</w:t>
      </w:r>
      <w:r w:rsidRPr="0095697C">
        <w:t xml:space="preserve">) ANRE elaborează un cadru de reglementare pentru operatorii de transport și de sistem și operatorii de distribuție pentru a oferi utilizatorilor posibilitatea de a încheia acorduri flexibile de racordare în zonele în care capacitatea de rețea pentru noi racordări este limitată sau inexistentă, care se publică în conformitate cu articolul 31 alin. (3) și cu articolul 50 alin. (4a) primul paragraf din Regulamentul (UE) 2019/943. </w:t>
      </w:r>
    </w:p>
    <w:p w14:paraId="6816FC3A"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(1</w:t>
      </w:r>
      <w:r w:rsidRPr="0095697C">
        <w:rPr>
          <w:vertAlign w:val="superscript"/>
        </w:rPr>
        <w:t>2</w:t>
      </w:r>
      <w:r w:rsidRPr="0095697C">
        <w:t>) Cadrul de reglementare prevăzut la alin. (1</w:t>
      </w:r>
      <w:r w:rsidRPr="0095697C">
        <w:rPr>
          <w:vertAlign w:val="superscript"/>
        </w:rPr>
        <w:t>1</w:t>
      </w:r>
      <w:r w:rsidRPr="0095697C">
        <w:t>) garantează că:</w:t>
      </w:r>
    </w:p>
    <w:p w14:paraId="54D72F2F" w14:textId="12C7A449" w:rsidR="00D90563" w:rsidRPr="0095697C" w:rsidRDefault="004C18B3" w:rsidP="00D0339D">
      <w:pPr>
        <w:spacing w:beforeLines="50" w:afterLines="50" w:after="120"/>
        <w:ind w:left="0" w:firstLine="0"/>
      </w:pPr>
      <w:r w:rsidRPr="0095697C">
        <w:t xml:space="preserve">a) </w:t>
      </w:r>
      <w:r w:rsidR="00D90563" w:rsidRPr="0095697C">
        <w:t>racordările flexibile nu întârzie consolidările rețelei în zonele identificate;</w:t>
      </w:r>
    </w:p>
    <w:p w14:paraId="5E3A106A" w14:textId="0FF64124" w:rsidR="00D90563" w:rsidRPr="0095697C" w:rsidRDefault="004C18B3" w:rsidP="00D0339D">
      <w:pPr>
        <w:spacing w:beforeLines="50" w:afterLines="50" w:after="120"/>
        <w:ind w:left="0" w:firstLine="0"/>
      </w:pPr>
      <w:r w:rsidRPr="0095697C">
        <w:t xml:space="preserve">b) </w:t>
      </w:r>
      <w:r w:rsidR="00D90563" w:rsidRPr="0095697C">
        <w:t>trecerea de la acorduri flexibile de racordare la acorduri ferme de racordare, după dezvoltarea rețelei, este asigurată pe baza unor criterii clare și transparente, stabilite de către autoritatea de reglementare;</w:t>
      </w:r>
    </w:p>
    <w:p w14:paraId="74949363" w14:textId="752DB387" w:rsidR="00D90563" w:rsidRPr="0095697C" w:rsidRDefault="004C18B3" w:rsidP="00D0339D">
      <w:pPr>
        <w:spacing w:beforeLines="50" w:afterLines="50" w:after="120"/>
        <w:ind w:left="0" w:firstLine="0"/>
      </w:pPr>
      <w:r w:rsidRPr="0095697C">
        <w:t xml:space="preserve">c) </w:t>
      </w:r>
      <w:r w:rsidR="00D90563" w:rsidRPr="0095697C">
        <w:t>pentru zonele în care autoritatea de reglementare consideră că dezvoltarea rețelei nu este cea mai eficientă soluție, permite, după caz, acordurile flexibile de racordare ca soluție permanentă, inclusiv pentru stocarea energiei.</w:t>
      </w:r>
    </w:p>
    <w:p w14:paraId="02E737DA" w14:textId="77777777" w:rsidR="00D90563" w:rsidRPr="0095697C" w:rsidRDefault="00D90563" w:rsidP="00D0339D">
      <w:pPr>
        <w:spacing w:beforeLines="50" w:afterLines="50" w:after="120"/>
        <w:ind w:left="0" w:firstLine="0"/>
        <w:rPr>
          <w:rFonts w:asciiTheme="minorHAnsi" w:eastAsiaTheme="minorHAnsi" w:hAnsiTheme="minorHAnsi" w:cstheme="minorBidi"/>
          <w:kern w:val="2"/>
          <w14:ligatures w14:val="standardContextual"/>
        </w:rPr>
      </w:pPr>
      <w:r w:rsidRPr="0095697C">
        <w:t>(1</w:t>
      </w:r>
      <w:r w:rsidRPr="0095697C">
        <w:rPr>
          <w:vertAlign w:val="superscript"/>
        </w:rPr>
        <w:t>3</w:t>
      </w:r>
      <w:r w:rsidRPr="0095697C">
        <w:t>) Cadrul de reglementare prevăzut la alin. (1</w:t>
      </w:r>
      <w:r w:rsidRPr="0095697C">
        <w:rPr>
          <w:vertAlign w:val="superscript"/>
        </w:rPr>
        <w:t>1</w:t>
      </w:r>
      <w:r w:rsidRPr="0095697C">
        <w:t>) stabilește prevederile acordurilor flexibile de racordare cu privire la:</w:t>
      </w:r>
    </w:p>
    <w:p w14:paraId="7B565579" w14:textId="4A500684" w:rsidR="00D90563" w:rsidRPr="0095697C" w:rsidRDefault="004C18B3" w:rsidP="00D0339D">
      <w:pPr>
        <w:spacing w:beforeLines="50" w:afterLines="50" w:after="120"/>
        <w:ind w:left="0" w:firstLine="0"/>
      </w:pPr>
      <w:r w:rsidRPr="0095697C">
        <w:t xml:space="preserve">a) </w:t>
      </w:r>
      <w:r w:rsidR="00D90563" w:rsidRPr="0095697C">
        <w:t xml:space="preserve">valoarea maximă a capacității ferme de energie electrică absorbită din și/sau evacuată în  rețea, precum și capacitatea flexibilă suplimentară evacuată și/sau  absorbită care poate fi racordată și diferențiată în funcție de intervale de timp pe tot parcursul anului; </w:t>
      </w:r>
    </w:p>
    <w:p w14:paraId="3A19F467" w14:textId="7B16C167" w:rsidR="00D90563" w:rsidRPr="0095697C" w:rsidRDefault="004C18B3" w:rsidP="00D0339D">
      <w:pPr>
        <w:spacing w:beforeLines="50" w:afterLines="50" w:after="120"/>
        <w:ind w:left="0" w:firstLine="0"/>
      </w:pPr>
      <w:r w:rsidRPr="0095697C">
        <w:t xml:space="preserve">b) </w:t>
      </w:r>
      <w:r w:rsidR="00D90563" w:rsidRPr="0095697C">
        <w:t>tarifele de rețea aplicabile atât capacităților ferme, cât și celor flexibile de injecție și extragere;</w:t>
      </w:r>
    </w:p>
    <w:p w14:paraId="10C1DE20" w14:textId="33068940" w:rsidR="00D90563" w:rsidRPr="0095697C" w:rsidRDefault="004C18B3" w:rsidP="00D0339D">
      <w:pPr>
        <w:spacing w:beforeLines="50" w:afterLines="50" w:after="120"/>
        <w:ind w:left="0" w:firstLine="0"/>
      </w:pPr>
      <w:r w:rsidRPr="0095697C">
        <w:t xml:space="preserve">c) </w:t>
      </w:r>
      <w:r w:rsidR="00D90563" w:rsidRPr="0095697C">
        <w:t>durata convenită a acordului flexibil de racordare și data preconizată pentru acordarea racordării la întreaga capacitate fermă solicitată,</w:t>
      </w:r>
    </w:p>
    <w:p w14:paraId="755F534F" w14:textId="1CCC2768" w:rsidR="00D90563" w:rsidRPr="0095697C" w:rsidRDefault="00D90563" w:rsidP="00D0339D">
      <w:pPr>
        <w:spacing w:beforeLines="50" w:afterLines="50" w:after="120"/>
        <w:ind w:left="0" w:firstLine="0"/>
      </w:pPr>
      <w:r w:rsidRPr="0095697C">
        <w:t>d) tarifele de racordare aplicabile.”</w:t>
      </w:r>
    </w:p>
    <w:p w14:paraId="1BDF88DF" w14:textId="2A79B2A3" w:rsidR="00D90563" w:rsidRPr="0095697C" w:rsidRDefault="00D90563" w:rsidP="00D0339D">
      <w:pPr>
        <w:pStyle w:val="Heading1"/>
        <w:spacing w:beforeLines="50" w:before="120" w:afterLines="50" w:after="120"/>
        <w:ind w:left="450" w:hanging="450"/>
        <w:contextualSpacing w:val="0"/>
      </w:pPr>
      <w:r w:rsidRPr="0095697C">
        <w:rPr>
          <w:rFonts w:ascii="Times New Roman" w:hAnsi="Times New Roman"/>
        </w:rPr>
        <w:t xml:space="preserve">La articolul 25, după alineatul (14) se introduce un nou alineat, </w:t>
      </w:r>
      <w:r w:rsidRPr="0095697C">
        <w:rPr>
          <w:rFonts w:ascii="Times New Roman" w:hAnsi="Times New Roman" w:cs="Times New Roman"/>
        </w:rPr>
        <w:t>alin.</w:t>
      </w:r>
      <w:r w:rsidRPr="0095697C">
        <w:rPr>
          <w:rFonts w:ascii="Times New Roman" w:hAnsi="Times New Roman"/>
        </w:rPr>
        <w:t xml:space="preserve"> (15</w:t>
      </w:r>
      <w:r w:rsidRPr="0095697C">
        <w:rPr>
          <w:rFonts w:ascii="Times New Roman" w:hAnsi="Times New Roman" w:cs="Times New Roman"/>
        </w:rPr>
        <w:t>),</w:t>
      </w:r>
      <w:r w:rsidRPr="0095697C">
        <w:rPr>
          <w:rFonts w:ascii="Times New Roman" w:hAnsi="Times New Roman"/>
        </w:rPr>
        <w:t xml:space="preserve"> cu următorul cuprins:</w:t>
      </w:r>
    </w:p>
    <w:p w14:paraId="6992A282" w14:textId="0CE6D8CE" w:rsidR="00D90563" w:rsidRPr="0095697C" w:rsidRDefault="00D90563" w:rsidP="00D0339D">
      <w:pPr>
        <w:spacing w:beforeLines="50" w:afterLines="50" w:after="120"/>
        <w:ind w:left="0" w:firstLine="0"/>
      </w:pPr>
      <w:r w:rsidRPr="0095697C">
        <w:t>”(15) Utilizatorul sistemului care se racordează printr-o racordare flexibilă la rețea are obligația să instaleze, pe cheltuiala sa, un sistem de control al puterii certificat de operatori economici  atestați conform reglementărilor ANRE.”</w:t>
      </w:r>
    </w:p>
    <w:p w14:paraId="2759F806" w14:textId="167776DB" w:rsidR="00A05E89" w:rsidRPr="0095697C" w:rsidRDefault="00A05E89" w:rsidP="00D0339D">
      <w:pPr>
        <w:pStyle w:val="Heading1"/>
        <w:spacing w:beforeLines="50" w:before="120" w:afterLines="50" w:after="120"/>
        <w:ind w:left="450" w:hanging="450"/>
        <w:contextualSpacing w:val="0"/>
      </w:pPr>
      <w:r w:rsidRPr="0095697C">
        <w:rPr>
          <w:rFonts w:ascii="Times New Roman" w:hAnsi="Times New Roman"/>
        </w:rPr>
        <w:t xml:space="preserve">La articolul 28, alineatul (2) </w:t>
      </w:r>
      <w:r w:rsidR="001B2292" w:rsidRPr="0095697C">
        <w:rPr>
          <w:rFonts w:ascii="Times New Roman" w:hAnsi="Times New Roman" w:cs="Times New Roman"/>
        </w:rPr>
        <w:t>va avea următorul cuprins</w:t>
      </w:r>
      <w:r w:rsidRPr="0095697C">
        <w:rPr>
          <w:rFonts w:ascii="Times New Roman" w:hAnsi="Times New Roman"/>
        </w:rPr>
        <w:t>:</w:t>
      </w:r>
    </w:p>
    <w:p w14:paraId="418CC630" w14:textId="61B5495C" w:rsidR="00A05E89" w:rsidRPr="0095697C" w:rsidRDefault="00A05E89" w:rsidP="00D0339D">
      <w:pPr>
        <w:spacing w:beforeLines="50" w:afterLines="50" w:after="120"/>
        <w:ind w:left="0" w:firstLine="0"/>
      </w:pPr>
      <w:r w:rsidRPr="0095697C">
        <w:t>”</w:t>
      </w:r>
      <w:r w:rsidR="001B2292" w:rsidRPr="0095697C">
        <w:t xml:space="preserve">(2) În vederea menținerii unei lichidități adecvate a pieței de electricitate, producătorii au obligația să tranzacționeze cel puțin 50% din producția anuală de energie electrică prin contracte pe piețele de energie electrică, pe alte piețe decât PZU, PI și PE. Sunt exceptați de la această </w:t>
      </w:r>
      <w:r w:rsidR="001B2292" w:rsidRPr="0095697C">
        <w:lastRenderedPageBreak/>
        <w:t xml:space="preserve">prevedere producătorii care dețin în portofoliu numai capacități de producere din surse eoliene, fotovoltaice, microhidrocentrale care beneficiază de schemă de sprijin prin certificate verzi, precum și capacități de producere de energie electrică în cogenerare. </w:t>
      </w:r>
      <w:bookmarkStart w:id="5" w:name="_Hlk207104462"/>
      <w:r w:rsidR="001B2292" w:rsidRPr="0095697C">
        <w:t xml:space="preserve">În cazul producătorilor de energie electrică, care au și calitatea de furnizor de energie electrică, condiția tranzacționării a cel puțin 50% din producția anuală de energie electrică prin contracte pe piețele de energie electrică, altele decât PZU, PI și PE, se consideră a fi îndeplinită și prin contractele de furnizare încheiate cu clienții </w:t>
      </w:r>
      <w:r w:rsidR="005372A3" w:rsidRPr="0095697C">
        <w:t>casnici</w:t>
      </w:r>
      <w:r w:rsidR="001B2292" w:rsidRPr="0095697C">
        <w:t>, în măsura în care energia pentru aceste contracte este transferată din producție proprie.</w:t>
      </w:r>
      <w:r w:rsidRPr="0095697C">
        <w:t>”</w:t>
      </w:r>
    </w:p>
    <w:bookmarkEnd w:id="5"/>
    <w:p w14:paraId="7EEBC6D2" w14:textId="4C4A71A3" w:rsidR="00402F4E" w:rsidRPr="0095697C" w:rsidRDefault="00402F4E" w:rsidP="00D0339D">
      <w:pPr>
        <w:pStyle w:val="Heading1"/>
        <w:spacing w:beforeLines="50" w:before="120" w:afterLines="50" w:after="120"/>
        <w:ind w:left="450" w:hanging="450"/>
        <w:contextualSpacing w:val="0"/>
      </w:pPr>
      <w:r w:rsidRPr="0095697C">
        <w:rPr>
          <w:rFonts w:ascii="Times New Roman" w:hAnsi="Times New Roman"/>
        </w:rPr>
        <w:t xml:space="preserve">La articolul 44, după alineatul (11) se introduc opt noi alineate, </w:t>
      </w:r>
      <w:r w:rsidRPr="0095697C">
        <w:rPr>
          <w:rFonts w:ascii="Times New Roman" w:hAnsi="Times New Roman" w:cs="Times New Roman"/>
        </w:rPr>
        <w:t>alin.</w:t>
      </w:r>
      <w:r w:rsidRPr="0095697C">
        <w:rPr>
          <w:rFonts w:ascii="Times New Roman" w:hAnsi="Times New Roman"/>
        </w:rPr>
        <w:t xml:space="preserve"> (12</w:t>
      </w:r>
      <w:r w:rsidRPr="0095697C">
        <w:rPr>
          <w:rFonts w:ascii="Times New Roman" w:hAnsi="Times New Roman" w:cs="Times New Roman"/>
        </w:rPr>
        <w:t>)-(</w:t>
      </w:r>
      <w:r w:rsidRPr="0095697C">
        <w:rPr>
          <w:rFonts w:ascii="Times New Roman" w:hAnsi="Times New Roman"/>
        </w:rPr>
        <w:t>19), cu următorul cuprins:</w:t>
      </w:r>
    </w:p>
    <w:p w14:paraId="1B485C3B" w14:textId="5EF66031" w:rsidR="00402F4E" w:rsidRPr="0095697C" w:rsidRDefault="00402F4E" w:rsidP="00D0339D">
      <w:pPr>
        <w:spacing w:beforeLines="50" w:afterLines="50" w:after="120"/>
        <w:ind w:left="0" w:firstLine="0"/>
      </w:pPr>
      <w:r w:rsidRPr="0095697C">
        <w:t>”(12) Operatorul de distribuție nu are dreptul, în nicio situație, de a face discriminări între utilizatorii sau categoriile de utilizatori ai sistemului, inclusiv comunitățile de energie din surse regenerabile și comunitățile de energie ale cetățenilor, în special în favoarea întreprinderilor sale conexe.</w:t>
      </w:r>
    </w:p>
    <w:p w14:paraId="420702F9"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(13) Operatorii de distribuție furnizează informațiile necesare utilizatorilor sistemului pentru accesul eficient la sistem și pentru utilizarea acestuia.</w:t>
      </w:r>
    </w:p>
    <w:p w14:paraId="2209E57F"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 xml:space="preserve">(14) Operatorii de distribuție publică în mod clar și transparent informații privind capacitatea disponibilă de a efectua noi racordări în zonele lor de operare cu o granularitate spațială ridicată, respectând siguranța publică și confidențialitatea datelor, inclusiv capacitatea la care se referă cererea de racordare și posibilitatea unei racordări flexibile în zonele congestionate. Publicarea informațiilor respective include informații referitoare la criteriile pentru calcularea capacității disponibile pentru racordările noi. </w:t>
      </w:r>
    </w:p>
    <w:p w14:paraId="70B60736"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(15) Operatorii de distribuție actualizează informațiile prevăzute la alin. (14) și le publică periodic, cel puțin trimestrial.</w:t>
      </w:r>
    </w:p>
    <w:p w14:paraId="123F86CD"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(16) Operatorii de distribuție furnizează, în mod transparent, în termen de trei luni de la data depunerii cererii, informații clare utilizatorilor sistemului cu privire la stadiul și soluționarea cererilor lor de racordare.</w:t>
      </w:r>
    </w:p>
    <w:p w14:paraId="2A231468"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(17) În cazul în care racordarea solicitată nu este nici acordată, nici respinsă definitiv, operatorii de distribuție actualizează aceste informații periodic, cel puțin trimestrial.</w:t>
      </w:r>
    </w:p>
    <w:p w14:paraId="1ED29A86" w14:textId="77777777"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(18) Operatorii de distribuție au obligația de a le oferi utilizatorilor sistemului opțiunea de a solicita racordarea la rețea și de a transmite documentele relevante exclusiv în format digital.</w:t>
      </w:r>
    </w:p>
    <w:p w14:paraId="3637661E" w14:textId="2CD519CF" w:rsidR="00402F4E" w:rsidRPr="0095697C" w:rsidRDefault="00402F4E" w:rsidP="00D0339D">
      <w:pPr>
        <w:spacing w:beforeLines="50" w:afterLines="50" w:after="120"/>
        <w:ind w:left="0" w:firstLine="0"/>
        <w:rPr>
          <w:rFonts w:asciiTheme="minorHAnsi" w:eastAsiaTheme="minorHAnsi" w:hAnsiTheme="minorHAnsi" w:cstheme="minorBidi"/>
          <w:kern w:val="2"/>
          <w14:ligatures w14:val="standardContextual"/>
        </w:rPr>
      </w:pPr>
      <w:r w:rsidRPr="0095697C">
        <w:t>(19) Dispoziţiile alin. (13) - (17) şi ale art. 45 alin. (1) lit. c) nu se aplică operatorilor economici integraţi din domeniul energiei electrice care deservesc mai puţin de 100.000 de clienţi racordaţi sau care deservesc sisteme izolate mici.”</w:t>
      </w:r>
    </w:p>
    <w:p w14:paraId="2D3E4D58" w14:textId="4DC8D9E7" w:rsidR="006F6070" w:rsidRPr="0095697C" w:rsidRDefault="006F6070" w:rsidP="006F6070">
      <w:pPr>
        <w:pStyle w:val="Heading1"/>
        <w:spacing w:beforeLines="50" w:before="120" w:afterLines="50" w:after="120"/>
        <w:ind w:left="450" w:hanging="450"/>
        <w:contextualSpacing w:val="0"/>
        <w:rPr>
          <w:rFonts w:ascii="Times New Roman" w:hAnsi="Times New Roman" w:cs="Times New Roman"/>
        </w:rPr>
      </w:pPr>
      <w:r w:rsidRPr="0095697C">
        <w:rPr>
          <w:rFonts w:ascii="Times New Roman" w:hAnsi="Times New Roman" w:cs="Times New Roman"/>
        </w:rPr>
        <w:t>La articolul 36, după alineatul (2) se introduce un nou alineat, alin. (2</w:t>
      </w:r>
      <w:r w:rsidRPr="0095697C">
        <w:rPr>
          <w:rFonts w:ascii="Times New Roman" w:hAnsi="Times New Roman" w:cs="Times New Roman"/>
          <w:vertAlign w:val="superscript"/>
        </w:rPr>
        <w:t>1</w:t>
      </w:r>
      <w:r w:rsidRPr="0095697C">
        <w:rPr>
          <w:rFonts w:ascii="Times New Roman" w:hAnsi="Times New Roman" w:cs="Times New Roman"/>
        </w:rPr>
        <w:t xml:space="preserve">), cu următorul cuprins: </w:t>
      </w:r>
    </w:p>
    <w:p w14:paraId="67A7D90A" w14:textId="00273578" w:rsidR="006F6070" w:rsidRPr="0095697C" w:rsidRDefault="006F6070" w:rsidP="00402F4E">
      <w:pPr>
        <w:spacing w:beforeLines="50" w:afterLines="50" w:after="120"/>
        <w:ind w:left="0" w:firstLine="0"/>
      </w:pPr>
      <w:r w:rsidRPr="0095697C">
        <w:lastRenderedPageBreak/>
        <w:t>”(2</w:t>
      </w:r>
      <w:r w:rsidRPr="0095697C">
        <w:rPr>
          <w:vertAlign w:val="superscript"/>
        </w:rPr>
        <w:t>1</w:t>
      </w:r>
      <w:r w:rsidRPr="0095697C">
        <w:t>) Operatorul poate realiza tranzacțiile prevăzute la alin. (2) direct și prin intermediul achizitorului unic organizat în condițiile stabilite de ANRE, cu respectarea prevederile art. 6</w:t>
      </w:r>
      <w:r w:rsidR="00183EDF">
        <w:t>6</w:t>
      </w:r>
      <w:r w:rsidRPr="0095697C">
        <w:rPr>
          <w:vertAlign w:val="superscript"/>
        </w:rPr>
        <w:t>5</w:t>
      </w:r>
      <w:r w:rsidRPr="0095697C">
        <w:t>-6</w:t>
      </w:r>
      <w:r w:rsidR="00183EDF">
        <w:t>6</w:t>
      </w:r>
      <w:r w:rsidRPr="0095697C">
        <w:rPr>
          <w:vertAlign w:val="superscript"/>
        </w:rPr>
        <w:t>9</w:t>
      </w:r>
      <w:r w:rsidRPr="0095697C">
        <w:t>. ”</w:t>
      </w:r>
    </w:p>
    <w:p w14:paraId="1548D61F" w14:textId="3DF4FBD7" w:rsidR="004A3BB8" w:rsidRPr="0095697C" w:rsidRDefault="004A3BB8" w:rsidP="004A3BB8">
      <w:pPr>
        <w:pStyle w:val="Heading1"/>
        <w:spacing w:beforeLines="50" w:before="120" w:afterLines="50" w:after="120"/>
        <w:ind w:left="450" w:hanging="450"/>
        <w:contextualSpacing w:val="0"/>
        <w:rPr>
          <w:rFonts w:ascii="Times New Roman" w:hAnsi="Times New Roman" w:cs="Times New Roman"/>
        </w:rPr>
      </w:pPr>
      <w:r w:rsidRPr="0095697C">
        <w:rPr>
          <w:rFonts w:ascii="Times New Roman" w:hAnsi="Times New Roman" w:cs="Times New Roman"/>
        </w:rPr>
        <w:t>La articolul 45, după alineatul (3) se introduce un nou alineat, alin. (3</w:t>
      </w:r>
      <w:r w:rsidRPr="0095697C">
        <w:rPr>
          <w:rFonts w:ascii="Times New Roman" w:hAnsi="Times New Roman" w:cs="Times New Roman"/>
          <w:vertAlign w:val="superscript"/>
        </w:rPr>
        <w:t>1</w:t>
      </w:r>
      <w:r w:rsidRPr="0095697C">
        <w:rPr>
          <w:rFonts w:ascii="Times New Roman" w:hAnsi="Times New Roman" w:cs="Times New Roman"/>
        </w:rPr>
        <w:t xml:space="preserve">), cu următorul cuprins: </w:t>
      </w:r>
    </w:p>
    <w:p w14:paraId="0CF981AC" w14:textId="026DC3C0" w:rsidR="006F6070" w:rsidRPr="0095697C" w:rsidRDefault="006F6070" w:rsidP="00402F4E">
      <w:pPr>
        <w:spacing w:beforeLines="50" w:afterLines="50" w:after="120"/>
        <w:ind w:left="0" w:firstLine="0"/>
      </w:pPr>
      <w:r w:rsidRPr="0095697C">
        <w:t>”(3</w:t>
      </w:r>
      <w:r w:rsidRPr="0095697C">
        <w:rPr>
          <w:vertAlign w:val="superscript"/>
        </w:rPr>
        <w:t>1</w:t>
      </w:r>
      <w:r w:rsidRPr="0095697C">
        <w:t xml:space="preserve">) </w:t>
      </w:r>
      <w:r w:rsidR="004A3BB8" w:rsidRPr="0095697C">
        <w:t>Operatorul de distribuție poate realiza tranzacții</w:t>
      </w:r>
      <w:r w:rsidRPr="0095697C">
        <w:t>le prevăzute la alin. (3)</w:t>
      </w:r>
      <w:r w:rsidR="004A3BB8" w:rsidRPr="0095697C">
        <w:t xml:space="preserve"> direct </w:t>
      </w:r>
      <w:r w:rsidRPr="0095697C">
        <w:t>și</w:t>
      </w:r>
      <w:r w:rsidR="004A3BB8" w:rsidRPr="0095697C">
        <w:t xml:space="preserve"> prin intermediul</w:t>
      </w:r>
      <w:r w:rsidRPr="0095697C">
        <w:t xml:space="preserve"> achizitorului unic organizat în condițiile stabilite de ANRE, cu respectarea prevederile art. 6</w:t>
      </w:r>
      <w:r w:rsidR="00183EDF">
        <w:t>6</w:t>
      </w:r>
      <w:r w:rsidRPr="0095697C">
        <w:rPr>
          <w:vertAlign w:val="superscript"/>
        </w:rPr>
        <w:t>5</w:t>
      </w:r>
      <w:r w:rsidRPr="0095697C">
        <w:t>-6</w:t>
      </w:r>
      <w:r w:rsidR="00183EDF">
        <w:t>6</w:t>
      </w:r>
      <w:r w:rsidRPr="0095697C">
        <w:rPr>
          <w:vertAlign w:val="superscript"/>
        </w:rPr>
        <w:t>9</w:t>
      </w:r>
      <w:r w:rsidRPr="0095697C">
        <w:t>.”</w:t>
      </w:r>
    </w:p>
    <w:p w14:paraId="39A4C7E7" w14:textId="00175B3F" w:rsidR="00402F4E" w:rsidRPr="0095697C" w:rsidRDefault="00402F4E" w:rsidP="00D0339D">
      <w:pPr>
        <w:pStyle w:val="Heading1"/>
        <w:spacing w:beforeLines="50" w:before="120" w:afterLines="50" w:after="120"/>
        <w:ind w:left="450" w:hanging="450"/>
        <w:contextualSpacing w:val="0"/>
      </w:pPr>
      <w:r w:rsidRPr="0095697C">
        <w:rPr>
          <w:rFonts w:ascii="Times New Roman" w:hAnsi="Times New Roman"/>
        </w:rPr>
        <w:t xml:space="preserve">La articolul 57, alineatul (13) va avea următorul cuprins: </w:t>
      </w:r>
    </w:p>
    <w:p w14:paraId="0195CC6D"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”(13) Înainte de încheierea sau prelungirea oricărui contract pe perioadă determinată și cu preț fix sau contract dinamic, furnizorul are obligația de a transmite clienților finali un rezumat al principalelor clauze și condiții contractuale, într-un mod vizibil și într-un limbaj clar și concis. Rezumatul prezintă dreptul clienților menționați la art. 58 alin. (2), respectiv drepturile prevăzute la art. 62 alin. (1) lit. h1) și include cel puțin următoarele informații:</w:t>
      </w:r>
    </w:p>
    <w:p w14:paraId="6AD02D77" w14:textId="6073AB2C" w:rsidR="00402F4E" w:rsidRPr="0095697C" w:rsidRDefault="00761B6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w:t>
      </w:r>
      <w:r w:rsidRPr="0095697C">
        <w:rPr>
          <w:bCs/>
          <w:color w:val="000000" w:themeColor="text1"/>
        </w:rPr>
        <w:t xml:space="preserve"> </w:t>
      </w:r>
      <w:r w:rsidR="00402F4E" w:rsidRPr="0095697C">
        <w:rPr>
          <w:color w:val="000000" w:themeColor="text1"/>
        </w:rPr>
        <w:t>prețul final facturat și defalcarea acestuia;</w:t>
      </w:r>
    </w:p>
    <w:p w14:paraId="4F6D0D17" w14:textId="507AAE45"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b)</w:t>
      </w:r>
      <w:r w:rsidR="00761B6E" w:rsidRPr="0095697C">
        <w:rPr>
          <w:bCs/>
          <w:color w:val="000000" w:themeColor="text1"/>
        </w:rPr>
        <w:t xml:space="preserve"> </w:t>
      </w:r>
      <w:r w:rsidRPr="0095697C">
        <w:rPr>
          <w:color w:val="000000" w:themeColor="text1"/>
        </w:rPr>
        <w:t>o explicație din care să reiasă dacă prețul contractual este fix, variabil sau dinamic;</w:t>
      </w:r>
    </w:p>
    <w:p w14:paraId="259C0F16" w14:textId="0D7C6D81"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c)</w:t>
      </w:r>
      <w:r w:rsidR="00761B6E" w:rsidRPr="0095697C">
        <w:rPr>
          <w:bCs/>
          <w:color w:val="000000" w:themeColor="text1"/>
        </w:rPr>
        <w:t xml:space="preserve"> </w:t>
      </w:r>
      <w:r w:rsidRPr="0095697C">
        <w:rPr>
          <w:color w:val="000000" w:themeColor="text1"/>
        </w:rPr>
        <w:t>adresa de e-mail a furnizorului și informații privind linia telefonică de asistență pentru consumatori și dacă este cazul, informații privind plățile unice, promoțiile, serviciile suplimentare și reducerile.”</w:t>
      </w:r>
    </w:p>
    <w:p w14:paraId="6EFB8FC3" w14:textId="6FCC26CF" w:rsidR="00402F4E" w:rsidRPr="0095697C" w:rsidRDefault="00402F4E" w:rsidP="00D0339D">
      <w:pPr>
        <w:pStyle w:val="Heading1"/>
        <w:spacing w:beforeLines="50" w:before="120" w:afterLines="50" w:after="120"/>
        <w:ind w:left="450" w:hanging="450"/>
        <w:contextualSpacing w:val="0"/>
      </w:pPr>
      <w:r w:rsidRPr="0095697C">
        <w:rPr>
          <w:rFonts w:ascii="Times New Roman" w:hAnsi="Times New Roman"/>
        </w:rPr>
        <w:t xml:space="preserve">La articolul 57, după alineatul (16) se introduce un nou alineat, alin. (17), cu următorul cuprins: </w:t>
      </w:r>
    </w:p>
    <w:p w14:paraId="43C724B3" w14:textId="54B2B35B" w:rsidR="00402F4E" w:rsidRPr="0095697C" w:rsidRDefault="00265628"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Pr>
          <w:color w:val="000000" w:themeColor="text1"/>
        </w:rPr>
        <w:t>”</w:t>
      </w:r>
      <w:r w:rsidR="00402F4E" w:rsidRPr="0095697C">
        <w:rPr>
          <w:color w:val="000000" w:themeColor="text1"/>
        </w:rPr>
        <w:t>(17) Furnizorii de energie electrică care au peste 200</w:t>
      </w:r>
      <w:r w:rsidR="009C631C" w:rsidRPr="0095697C">
        <w:rPr>
          <w:bCs/>
          <w:color w:val="000000" w:themeColor="text1"/>
        </w:rPr>
        <w:t>.</w:t>
      </w:r>
      <w:r w:rsidR="00402F4E" w:rsidRPr="0095697C">
        <w:rPr>
          <w:color w:val="000000" w:themeColor="text1"/>
        </w:rPr>
        <w:t xml:space="preserve">000 de clienți finali în portofoliu au obligația să încheie contracte de furnizare a energiei electrice pe durată determinată de cel puțin un an și cu prețuri fixe la solicitarea clienților finali și contracte de furnizare a energiei electrice la prețuri dinamice la solicitarea clienților finali care au instalat un sistem de contorizare inteligentă. În cazul în care niciun furnizor nu </w:t>
      </w:r>
      <w:r>
        <w:rPr>
          <w:color w:val="000000" w:themeColor="text1"/>
        </w:rPr>
        <w:t xml:space="preserve">depășește </w:t>
      </w:r>
      <w:r w:rsidR="00402F4E" w:rsidRPr="0095697C">
        <w:rPr>
          <w:color w:val="000000" w:themeColor="text1"/>
        </w:rPr>
        <w:t>200</w:t>
      </w:r>
      <w:r w:rsidR="009C631C" w:rsidRPr="0095697C">
        <w:rPr>
          <w:bCs/>
          <w:color w:val="000000" w:themeColor="text1"/>
        </w:rPr>
        <w:t>.</w:t>
      </w:r>
      <w:r w:rsidR="00402F4E" w:rsidRPr="0095697C">
        <w:rPr>
          <w:color w:val="000000" w:themeColor="text1"/>
        </w:rPr>
        <w:t xml:space="preserve">000 clienți, </w:t>
      </w:r>
      <w:r>
        <w:rPr>
          <w:color w:val="000000" w:themeColor="text1"/>
        </w:rPr>
        <w:t xml:space="preserve">obligația este aplicabilă </w:t>
      </w:r>
      <w:r w:rsidR="00402F4E" w:rsidRPr="0095697C">
        <w:rPr>
          <w:color w:val="000000" w:themeColor="text1"/>
        </w:rPr>
        <w:t>furnizorul</w:t>
      </w:r>
      <w:r>
        <w:rPr>
          <w:color w:val="000000" w:themeColor="text1"/>
        </w:rPr>
        <w:t>ui</w:t>
      </w:r>
      <w:r w:rsidR="00402F4E" w:rsidRPr="0095697C">
        <w:rPr>
          <w:color w:val="000000" w:themeColor="text1"/>
        </w:rPr>
        <w:t xml:space="preserve"> cu cea mai mare cotă de piață în anul anterior celui pentru care se stabilește obligația.</w:t>
      </w:r>
      <w:r>
        <w:rPr>
          <w:color w:val="000000" w:themeColor="text1"/>
        </w:rPr>
        <w:t>”</w:t>
      </w:r>
    </w:p>
    <w:p w14:paraId="49D7C06B" w14:textId="52E4FF6F"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La articolul 58, după alineatul (1</w:t>
      </w:r>
      <w:r w:rsidRPr="0095697C">
        <w:rPr>
          <w:rFonts w:ascii="Times New Roman" w:hAnsi="Times New Roman"/>
          <w:vertAlign w:val="superscript"/>
        </w:rPr>
        <w:t>2</w:t>
      </w:r>
      <w:r w:rsidRPr="0095697C">
        <w:rPr>
          <w:rFonts w:ascii="Times New Roman" w:hAnsi="Times New Roman"/>
        </w:rPr>
        <w:t>) se introduce un nou alineat, alineatul (1</w:t>
      </w:r>
      <w:r w:rsidRPr="0095697C">
        <w:rPr>
          <w:rFonts w:ascii="Times New Roman" w:hAnsi="Times New Roman"/>
          <w:vertAlign w:val="superscript"/>
        </w:rPr>
        <w:t>3</w:t>
      </w:r>
      <w:r w:rsidRPr="0095697C">
        <w:rPr>
          <w:rFonts w:ascii="Times New Roman" w:hAnsi="Times New Roman"/>
        </w:rPr>
        <w:t xml:space="preserve">), cu </w:t>
      </w:r>
      <w:r w:rsidR="00761B6E" w:rsidRPr="0095697C">
        <w:rPr>
          <w:rFonts w:ascii="Times New Roman" w:hAnsi="Times New Roman" w:cs="Times New Roman"/>
        </w:rPr>
        <w:t>următorul</w:t>
      </w:r>
      <w:r w:rsidRPr="0095697C">
        <w:rPr>
          <w:rFonts w:ascii="Times New Roman" w:hAnsi="Times New Roman"/>
        </w:rPr>
        <w:t xml:space="preserve"> cuprins:</w:t>
      </w:r>
    </w:p>
    <w:p w14:paraId="74FD9718" w14:textId="05143E12" w:rsidR="00402F4E" w:rsidRPr="0095697C" w:rsidRDefault="009C631C" w:rsidP="00D0339D">
      <w:pPr>
        <w:spacing w:beforeLines="50" w:afterLines="50" w:after="120"/>
        <w:ind w:left="0" w:firstLine="0"/>
        <w:rPr>
          <w:color w:val="000000" w:themeColor="text1"/>
        </w:rPr>
      </w:pPr>
      <w:r w:rsidRPr="0095697C">
        <w:rPr>
          <w:bCs/>
          <w:color w:val="000000" w:themeColor="text1"/>
        </w:rPr>
        <w:t>”</w:t>
      </w:r>
      <w:r w:rsidR="00402F4E" w:rsidRPr="0095697C">
        <w:rPr>
          <w:bCs/>
          <w:color w:val="000000" w:themeColor="text1"/>
        </w:rPr>
        <w:t>(</w:t>
      </w:r>
      <w:r w:rsidR="00402F4E" w:rsidRPr="0095697C">
        <w:rPr>
          <w:color w:val="000000" w:themeColor="text1"/>
        </w:rPr>
        <w:t>1</w:t>
      </w:r>
      <w:r w:rsidR="00402F4E" w:rsidRPr="0095697C">
        <w:rPr>
          <w:color w:val="000000" w:themeColor="text1"/>
          <w:vertAlign w:val="superscript"/>
        </w:rPr>
        <w:t>3</w:t>
      </w:r>
      <w:r w:rsidR="00402F4E" w:rsidRPr="0095697C">
        <w:rPr>
          <w:color w:val="000000" w:themeColor="text1"/>
        </w:rPr>
        <w:t xml:space="preserve">) Furnizorul nu are dreptul de a modifica unilateral clauzele și condițiile contractelor de furnizare a energiei electrice pe durată determinată și cu prețuri fixe și nu denunță astfel de contracte înainte de încheierea duratei acestora cu </w:t>
      </w:r>
      <w:r w:rsidRPr="0095697C">
        <w:rPr>
          <w:bCs/>
          <w:color w:val="000000" w:themeColor="text1"/>
        </w:rPr>
        <w:t>excepția</w:t>
      </w:r>
      <w:r w:rsidR="00402F4E" w:rsidRPr="0095697C">
        <w:rPr>
          <w:color w:val="000000" w:themeColor="text1"/>
        </w:rPr>
        <w:t xml:space="preserve"> situațiilor prevăzute la alin. (4) lit. a) și b</w:t>
      </w:r>
      <w:r w:rsidR="00402F4E" w:rsidRPr="0095697C">
        <w:rPr>
          <w:bCs/>
          <w:color w:val="000000" w:themeColor="text1"/>
        </w:rPr>
        <w:t>).</w:t>
      </w:r>
      <w:r w:rsidRPr="0095697C">
        <w:rPr>
          <w:bCs/>
          <w:color w:val="000000" w:themeColor="text1"/>
        </w:rPr>
        <w:t>”</w:t>
      </w:r>
    </w:p>
    <w:p w14:paraId="3F9A65D6" w14:textId="1B142F65"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La articolul 62 alineatul (1), literele i</w:t>
      </w:r>
      <w:r w:rsidRPr="0095697C">
        <w:rPr>
          <w:rFonts w:ascii="Times New Roman" w:hAnsi="Times New Roman"/>
          <w:vertAlign w:val="superscript"/>
        </w:rPr>
        <w:t>1</w:t>
      </w:r>
      <w:r w:rsidRPr="0095697C">
        <w:rPr>
          <w:rFonts w:ascii="Times New Roman" w:hAnsi="Times New Roman"/>
        </w:rPr>
        <w:t>) și i</w:t>
      </w:r>
      <w:r w:rsidRPr="0095697C">
        <w:rPr>
          <w:rFonts w:ascii="Times New Roman" w:hAnsi="Times New Roman"/>
          <w:vertAlign w:val="superscript"/>
        </w:rPr>
        <w:t>2</w:t>
      </w:r>
      <w:r w:rsidRPr="0095697C">
        <w:rPr>
          <w:rFonts w:ascii="Times New Roman" w:hAnsi="Times New Roman"/>
        </w:rPr>
        <w:t>) vor avea următorul cuprins:</w:t>
      </w:r>
    </w:p>
    <w:p w14:paraId="21418ECC" w14:textId="409AB72A"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”i</w:t>
      </w:r>
      <w:r w:rsidRPr="0095697C">
        <w:rPr>
          <w:color w:val="000000" w:themeColor="text1"/>
          <w:vertAlign w:val="superscript"/>
        </w:rPr>
        <w:t>1</w:t>
      </w:r>
      <w:r w:rsidRPr="0095697C">
        <w:rPr>
          <w:color w:val="000000" w:themeColor="text1"/>
        </w:rPr>
        <w:t xml:space="preserve">) să încheie contracte de furnizare a energiei electrice pe durată determinată de cel puțin un an și cu prețuri fixe, iar in cazul </w:t>
      </w:r>
      <w:r w:rsidR="00761B6E" w:rsidRPr="0095697C">
        <w:rPr>
          <w:bCs/>
          <w:color w:val="000000" w:themeColor="text1"/>
        </w:rPr>
        <w:t>clienților</w:t>
      </w:r>
      <w:r w:rsidRPr="0095697C">
        <w:rPr>
          <w:color w:val="000000" w:themeColor="text1"/>
        </w:rPr>
        <w:t xml:space="preserve"> finali care </w:t>
      </w:r>
      <w:r w:rsidR="00761B6E" w:rsidRPr="0095697C">
        <w:rPr>
          <w:bCs/>
          <w:color w:val="000000" w:themeColor="text1"/>
        </w:rPr>
        <w:t>dețin</w:t>
      </w:r>
      <w:r w:rsidRPr="0095697C">
        <w:rPr>
          <w:color w:val="000000" w:themeColor="text1"/>
        </w:rPr>
        <w:t xml:space="preserve"> un sistem de contorizare inteligentă, să </w:t>
      </w:r>
      <w:r w:rsidRPr="0095697C">
        <w:rPr>
          <w:color w:val="000000" w:themeColor="text1"/>
        </w:rPr>
        <w:lastRenderedPageBreak/>
        <w:t>încheie contracte de furnizare a energiei electrice la preţuri dinamice, cu cel puţin un furnizor şi cu oricare furnizor care are peste 200.000 de clienţi finali</w:t>
      </w:r>
      <w:r w:rsidRPr="0095697C">
        <w:rPr>
          <w:bCs/>
          <w:color w:val="000000" w:themeColor="text1"/>
        </w:rPr>
        <w:t>;</w:t>
      </w:r>
    </w:p>
    <w:p w14:paraId="6B0FE998" w14:textId="0A718D98" w:rsidR="00402F4E" w:rsidRPr="0095697C" w:rsidRDefault="00402F4E" w:rsidP="00D0339D">
      <w:pPr>
        <w:spacing w:beforeLines="50" w:afterLines="50" w:after="120"/>
        <w:ind w:left="0" w:firstLine="0"/>
        <w:rPr>
          <w:color w:val="000000" w:themeColor="text1"/>
        </w:rPr>
      </w:pPr>
      <w:r w:rsidRPr="0095697C">
        <w:rPr>
          <w:color w:val="000000" w:themeColor="text1"/>
        </w:rPr>
        <w:t>”i</w:t>
      </w:r>
      <w:r w:rsidRPr="0095697C">
        <w:rPr>
          <w:color w:val="000000" w:themeColor="text1"/>
          <w:vertAlign w:val="superscript"/>
        </w:rPr>
        <w:t>2</w:t>
      </w:r>
      <w:r w:rsidRPr="0095697C">
        <w:rPr>
          <w:color w:val="000000" w:themeColor="text1"/>
        </w:rPr>
        <w:t xml:space="preserve">) să primească de la furnizori </w:t>
      </w:r>
      <w:r w:rsidR="009C631C" w:rsidRPr="0095697C">
        <w:rPr>
          <w:bCs/>
          <w:color w:val="000000" w:themeColor="text1"/>
        </w:rPr>
        <w:t>informații</w:t>
      </w:r>
      <w:r w:rsidRPr="0095697C">
        <w:rPr>
          <w:color w:val="000000" w:themeColor="text1"/>
        </w:rPr>
        <w:t xml:space="preserve"> despre avantajele, costurile şi riscurile contractelor de furnizare a energie electrică la preţuri dinamice și a celor pe durată determinată și cu prețuri fixe, inclusiv cu privire la necesitatea de a avea instalat un contor de energie electrică adecvat;”</w:t>
      </w:r>
    </w:p>
    <w:p w14:paraId="5C8162FB" w14:textId="46924296" w:rsidR="00402F4E" w:rsidRPr="0095697C" w:rsidRDefault="00402F4E" w:rsidP="00D0339D">
      <w:pPr>
        <w:pStyle w:val="Heading1"/>
        <w:spacing w:beforeLines="50" w:before="120" w:afterLines="50" w:after="120"/>
        <w:ind w:left="450" w:hanging="450"/>
        <w:contextualSpacing w:val="0"/>
      </w:pPr>
      <w:r w:rsidRPr="0095697C">
        <w:rPr>
          <w:rFonts w:ascii="Times New Roman" w:hAnsi="Times New Roman"/>
        </w:rPr>
        <w:t>La articolul 62 alineatul (1), după litera n) se introduce o nouă literă, litera o) cu următorul cuprins:</w:t>
      </w:r>
    </w:p>
    <w:p w14:paraId="6ABF0D46" w14:textId="3943A4E3"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o) de a avea simultan mai multe contracte de furnizare a energiei electrice sau acorduri de partajare a energiei conform reglementarilor ANRE. În acest scop, clienții au dreptul de a avea mai mult de un punct de </w:t>
      </w:r>
      <w:r w:rsidRPr="0095697C">
        <w:rPr>
          <w:bCs/>
          <w:color w:val="000000" w:themeColor="text1"/>
        </w:rPr>
        <w:t>măsurare</w:t>
      </w:r>
      <w:r w:rsidRPr="0095697C">
        <w:rPr>
          <w:color w:val="000000" w:themeColor="text1"/>
        </w:rPr>
        <w:t xml:space="preserve"> și de facturare </w:t>
      </w:r>
      <w:r w:rsidRPr="0095697C">
        <w:rPr>
          <w:bCs/>
          <w:color w:val="000000" w:themeColor="text1"/>
        </w:rPr>
        <w:t>aferent aceluiași loc</w:t>
      </w:r>
      <w:r w:rsidRPr="0095697C">
        <w:rPr>
          <w:color w:val="000000" w:themeColor="text1"/>
        </w:rPr>
        <w:t xml:space="preserve"> de </w:t>
      </w:r>
      <w:r w:rsidRPr="0095697C">
        <w:rPr>
          <w:bCs/>
          <w:color w:val="000000" w:themeColor="text1"/>
        </w:rPr>
        <w:t>consum</w:t>
      </w:r>
      <w:r w:rsidRPr="0095697C">
        <w:rPr>
          <w:color w:val="000000" w:themeColor="text1"/>
        </w:rPr>
        <w:t xml:space="preserve">. În cazul în care acest lucru este fezabil din punct de vedere tehnic, sistemele de contorizare inteligentă implementate pot fi utilizate pentru a permite clienților să aibă simultan mai mult de un contract de furnizare de energie electrică sau mai multe acorduri de partajare a energiei. </w:t>
      </w:r>
    </w:p>
    <w:p w14:paraId="3E6D2B51" w14:textId="706AEF4F" w:rsidR="00402F4E" w:rsidRPr="0095697C" w:rsidRDefault="00402F4E" w:rsidP="00D0339D">
      <w:pPr>
        <w:pStyle w:val="Heading1"/>
        <w:spacing w:beforeLines="50" w:before="120" w:afterLines="50" w:after="120"/>
        <w:ind w:left="450" w:hanging="450"/>
        <w:contextualSpacing w:val="0"/>
      </w:pPr>
      <w:r w:rsidRPr="0095697C">
        <w:rPr>
          <w:rFonts w:ascii="Times New Roman" w:hAnsi="Times New Roman"/>
        </w:rPr>
        <w:t>Articolul 63 va avea următorul cuprins:</w:t>
      </w:r>
    </w:p>
    <w:p w14:paraId="7D23AA0C" w14:textId="112F28F9" w:rsidR="00402F4E" w:rsidRPr="0095697C" w:rsidRDefault="00BC23CA" w:rsidP="00D0339D">
      <w:pPr>
        <w:spacing w:beforeLines="50" w:afterLines="50" w:after="120"/>
        <w:ind w:left="0" w:firstLine="0"/>
        <w:rPr>
          <w:color w:val="000000" w:themeColor="text1"/>
        </w:rPr>
      </w:pPr>
      <w:r w:rsidRPr="0095697C">
        <w:rPr>
          <w:bCs/>
          <w:color w:val="000000" w:themeColor="text1"/>
        </w:rPr>
        <w:t>”</w:t>
      </w:r>
      <w:r w:rsidR="00402F4E" w:rsidRPr="0095697C">
        <w:rPr>
          <w:bCs/>
          <w:color w:val="000000" w:themeColor="text1"/>
        </w:rPr>
        <w:t>(</w:t>
      </w:r>
      <w:r w:rsidR="00402F4E" w:rsidRPr="0095697C">
        <w:rPr>
          <w:color w:val="000000" w:themeColor="text1"/>
        </w:rPr>
        <w:t>1) Clienţii activi au următoarele drepturi:</w:t>
      </w:r>
    </w:p>
    <w:p w14:paraId="5C3F9694"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a) de a beneficia de aceleaşi drepturi şi reguli de protecţie a clienţilor ca acelea la care ar avea dreptul individual, fără să li se aplice obligaţii, proceduri şi tarife tehnice sau administrative disproporţionate sau discriminatorii şi nici tarife de reţea care nu reflectă costurile; </w:t>
      </w:r>
    </w:p>
    <w:p w14:paraId="0E808E4D"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b) să opereze fie direct, fie prin agregare;</w:t>
      </w:r>
    </w:p>
    <w:p w14:paraId="74DFCDFA"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c) să vândă energie electrică autoprodusă, inclusiv prin acorduri/contracte de cumpărare de energie electrică;</w:t>
      </w:r>
    </w:p>
    <w:p w14:paraId="48EDDDE4"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d) să participe la mecanisme de flexibilitate care permit modificarea modelelor de producere şi/sau consum şi la scheme de eficienţă energetică;</w:t>
      </w:r>
    </w:p>
    <w:p w14:paraId="68664739"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e) să delege unui terţ gestionarea instalaţiilor necesare pentru desfăşurarea activităţilor lor, inclusiv instalarea, exploatarea, prelucrarea datelor şi întreţinerea, fără ca terţul să fie considerat drept un client activ;</w:t>
      </w:r>
    </w:p>
    <w:p w14:paraId="36C735EA"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f) să beneficieze de aplicarea unor tarife de reţea transparente, nediscriminatorii şi care reflectă costurile, calculate separat pentru energia electrică introdusă în reţea şi pentru energia electrică consumată din reţea, conform reglementărilor ANRE, asigurându-se că acestea contribuie în mod adecvat şi echilibrat la partajarea costurilor totale ale sistemului;</w:t>
      </w:r>
    </w:p>
    <w:p w14:paraId="136C348B"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g) să deţină instalaţii de stocare a energiei.</w:t>
      </w:r>
    </w:p>
    <w:p w14:paraId="39286681"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(2) Clienţii activi care deţin instalaţii de stocare a energiei electrice au următoarele drepturi, în conformitate cu reglementările ANRE:</w:t>
      </w:r>
    </w:p>
    <w:p w14:paraId="5DF12A91" w14:textId="356519E9" w:rsidR="00402F4E" w:rsidRPr="0095697C" w:rsidRDefault="00402F4E" w:rsidP="00D0339D">
      <w:pPr>
        <w:spacing w:beforeLines="50" w:afterLines="50" w:after="120"/>
        <w:ind w:left="0" w:firstLine="0"/>
        <w:rPr>
          <w:color w:val="000000" w:themeColor="text1"/>
        </w:rPr>
      </w:pPr>
      <w:r w:rsidRPr="0095697C">
        <w:rPr>
          <w:color w:val="000000" w:themeColor="text1"/>
        </w:rPr>
        <w:t>a) să fie racordaţi la reţea, în măsura în care toate condiţiile necesare sunt îndeplinite;</w:t>
      </w:r>
    </w:p>
    <w:p w14:paraId="07FAF65D"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lastRenderedPageBreak/>
        <w:t>b) să nu li se aplice taxe duble şi nici tarife de reţea pentru energia electrică stocată rămasă în spaţiile lor sau atunci când furnizează servicii de flexibilitate operatorilor de sistem;</w:t>
      </w:r>
    </w:p>
    <w:p w14:paraId="41CA00A9"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c) să nu li se aplice obligaţii sau taxe disproporţionate aferente acordării licenţelor;</w:t>
      </w:r>
    </w:p>
    <w:p w14:paraId="7D883A0B"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d) să furnizeze mai multe servicii simultan, dacă acest lucru este fezabil din punct de vedere tehnic.</w:t>
      </w:r>
    </w:p>
    <w:p w14:paraId="6E27B25A"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(3) Clienţii activi au responsabilitatea din punct de vedere financiar pentru dezechilibrele pe care le produc în SEN; în acest sens, aceştia sunt părţi responsabile cu echilibrarea sau deleagă responsabilitatea lor în materie de echilibrare.</w:t>
      </w:r>
    </w:p>
    <w:p w14:paraId="03F2185E" w14:textId="029FCCC0"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(4) Clienții finali au dreptul de a participa la partajarea energiei în calitate de clienți activi în mod nediscriminatoriu, în aceeași zonă de ofertare sau într-o zonă geografică mai restrânsă, în condițiile stabilite de </w:t>
      </w:r>
      <w:r w:rsidR="006760A9">
        <w:rPr>
          <w:color w:val="000000" w:themeColor="text1"/>
        </w:rPr>
        <w:t>ANRE</w:t>
      </w:r>
      <w:r w:rsidRPr="0095697C">
        <w:rPr>
          <w:color w:val="000000" w:themeColor="text1"/>
        </w:rPr>
        <w:t>.</w:t>
      </w:r>
    </w:p>
    <w:p w14:paraId="799D7063" w14:textId="25BC2F8E"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bookmarkStart w:id="6" w:name="_Hlk219197725"/>
      <w:r w:rsidRPr="0095697C">
        <w:rPr>
          <w:color w:val="000000" w:themeColor="text1"/>
        </w:rPr>
        <w:t xml:space="preserve">(5) Clienții activi au dreptul de a partaja energia din surse regenerabile între ei pe baza unor </w:t>
      </w:r>
      <w:r w:rsidR="003F6DCE">
        <w:rPr>
          <w:color w:val="000000" w:themeColor="text1"/>
        </w:rPr>
        <w:t xml:space="preserve">contracte </w:t>
      </w:r>
      <w:r w:rsidR="003F6DCE">
        <w:rPr>
          <w:bCs/>
          <w:color w:val="000000" w:themeColor="text1"/>
        </w:rPr>
        <w:t>încheiate</w:t>
      </w:r>
      <w:r w:rsidRPr="0095697C">
        <w:rPr>
          <w:color w:val="000000" w:themeColor="text1"/>
        </w:rPr>
        <w:t>. Participarea la partajarea energiei nu trebuie să constituie activitatea comercială sau profesională primară a clienților activi care participă la partajarea energiei.</w:t>
      </w:r>
    </w:p>
    <w:bookmarkEnd w:id="6"/>
    <w:p w14:paraId="27ED868B"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(6) Clienții activi pot desemna o parte terță drept organizator al partajării energiei pentru:</w:t>
      </w:r>
    </w:p>
    <w:p w14:paraId="5E4F50A5"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 comunicarea cu privire la acordurile de partajare a energiei cu furnizorii și operatorii de rețea, inclusiv cu privire la aspecte legate de tarifele și taxele aplicabile;</w:t>
      </w:r>
    </w:p>
    <w:p w14:paraId="23D5B517"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b) furnizarea de sprijin pentru gestionarea și echilibrarea sarcinilor flexibile în aval de contor, a producției distribuite de energie din surse regenerabile și a instalațiilor de stocare în cadrul unui acord de partajare a energiei;</w:t>
      </w:r>
    </w:p>
    <w:p w14:paraId="58910374"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c) contractarea și facturarea clienților activi care participă la partajarea energiei;</w:t>
      </w:r>
    </w:p>
    <w:p w14:paraId="4E3E59A6"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d) instalarea și exploatarea, inclusiv contorizarea și întreținerea instalației de producere a energiei din surse regenerabile sau a instalației de stocare.</w:t>
      </w:r>
    </w:p>
    <w:p w14:paraId="49020D58" w14:textId="6CF7770B"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(7) Organizatorul partajării energiei sau o altă parte terță poate deține sau gestiona o instalație de stocare sau de producere a energiei din surse regenerabile de până la 6 MW, fără a fi considerată un client activ, cu excepția cazului în care este unul dintre clienții activi care participă la proiectul de partajare a energiei, în condițiile stabilite de </w:t>
      </w:r>
      <w:r w:rsidR="006760A9">
        <w:rPr>
          <w:color w:val="000000" w:themeColor="text1"/>
        </w:rPr>
        <w:t>ANRE</w:t>
      </w:r>
      <w:r w:rsidRPr="0095697C">
        <w:rPr>
          <w:color w:val="000000" w:themeColor="text1"/>
        </w:rPr>
        <w:t>.</w:t>
      </w:r>
    </w:p>
    <w:p w14:paraId="6EC6D337"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(8) Organizatorul partajării energiei furnizează servicii nediscriminatorii și prețuri, tarife și condiții de servicii transparente.</w:t>
      </w:r>
    </w:p>
    <w:p w14:paraId="5CA1D48C"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(9) Clienții activi care participă la partajarea energiei:</w:t>
      </w:r>
    </w:p>
    <w:p w14:paraId="4763EA88"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 au dreptul la deducerea energiei electrice partajate introduse în rețea din consumul lor total contorizat într-un interval de timp care nu depășește intervalul de decontare a dezechilibrului și fără a aduce atingere impozitelor, taxelor și tarifelor de rețea care reflectă costul, aplicabile nediscriminatoriu;</w:t>
      </w:r>
    </w:p>
    <w:p w14:paraId="5F293DEB"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b) beneficiază de toate drepturile și obligațiile aferente consumatorilor în calitate de clienți finali prevăzute prin prezenta lege;</w:t>
      </w:r>
    </w:p>
    <w:p w14:paraId="4C394A65"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lastRenderedPageBreak/>
        <w:t xml:space="preserve">c) nu li se poate impune să respecte obligațiile care revin furnizorului în cazul în care energia este partajată între gospodării cu o capacitate instalată de până la 10,8 kW pentru gospodăriile individuale și de până la 50 kW pentru blocurile cu mai multe apartamente; </w:t>
      </w:r>
    </w:p>
    <w:p w14:paraId="4CE7DF5B" w14:textId="66D1FC19"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d) au acces la modele de contracte voluntare</w:t>
      </w:r>
      <w:r w:rsidRPr="0095697C">
        <w:rPr>
          <w:bCs/>
          <w:color w:val="000000" w:themeColor="text1"/>
        </w:rPr>
        <w:t>, care nu au caracter obligatoriu,</w:t>
      </w:r>
      <w:r w:rsidRPr="0095697C">
        <w:rPr>
          <w:color w:val="000000" w:themeColor="text1"/>
        </w:rPr>
        <w:t xml:space="preserve"> cu clauze și condiții echitabile și transparente pentru acordurile de partajare a energiei, </w:t>
      </w:r>
      <w:r w:rsidRPr="0095697C">
        <w:rPr>
          <w:bCs/>
          <w:color w:val="000000" w:themeColor="text1"/>
        </w:rPr>
        <w:t>aprobate de</w:t>
      </w:r>
      <w:r w:rsidR="00684891" w:rsidRPr="0095697C">
        <w:rPr>
          <w:bCs/>
          <w:color w:val="000000" w:themeColor="text1"/>
        </w:rPr>
        <w:t xml:space="preserve"> </w:t>
      </w:r>
      <w:r w:rsidRPr="0095697C">
        <w:rPr>
          <w:bCs/>
          <w:color w:val="000000" w:themeColor="text1"/>
        </w:rPr>
        <w:t>ANRE</w:t>
      </w:r>
      <w:r w:rsidRPr="0095697C">
        <w:rPr>
          <w:color w:val="000000" w:themeColor="text1"/>
        </w:rPr>
        <w:t>;</w:t>
      </w:r>
    </w:p>
    <w:p w14:paraId="767077A7" w14:textId="20C1357C"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e) în cazul unui conflict care decurge dintr-un acord de partajare a energiei, au acces la soluționarea alternativă a litigiilor cu alți participanți la acordul de partajare a energiei în conformitate cu prevederile Ordonanței Guvernului nr. 38/2015 privind </w:t>
      </w:r>
      <w:r w:rsidR="00BC23CA" w:rsidRPr="0095697C">
        <w:rPr>
          <w:bCs/>
          <w:color w:val="000000" w:themeColor="text1"/>
        </w:rPr>
        <w:t>soluționarea</w:t>
      </w:r>
      <w:r w:rsidRPr="0095697C">
        <w:rPr>
          <w:color w:val="000000" w:themeColor="text1"/>
        </w:rPr>
        <w:t xml:space="preserve"> alternativă a litigiilor dintre consumatori şi comercianţi . </w:t>
      </w:r>
    </w:p>
    <w:p w14:paraId="53AB3A74"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f) nu fac obiectul unui tratament inechitabil și discriminatoriu din partea participanților la piață sau a părților lor responsabile cu echilibrarea;</w:t>
      </w:r>
    </w:p>
    <w:p w14:paraId="6AEE467C"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g) sunt informați cu privire la posibilitatea de modificare a zonelor de ofertare în conformitate cu articolul 14 din Regulamentul (UE) 2019/943 și cu privire la faptul că dreptul de a partaja energie din surse regenerabile este limitat din punct de vedere geografic;</w:t>
      </w:r>
    </w:p>
    <w:p w14:paraId="5212F4CA"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h) notifică acordurile de partajare a energiei operatorilor de sistem și participanților la piață relevanți, inclusiv furnizorilor relevanți, fie direct, fie prin intermediul unui organizator al partajării energiei.</w:t>
      </w:r>
    </w:p>
    <w:p w14:paraId="3C45B908"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(10) În cazul în care alte categorii de clienți finali care participă la sisteme de partajare a energiei sunt mai mari decât întreprinderile mici și mijlocii, se aplică următoarele condiții suplimentare:</w:t>
      </w:r>
    </w:p>
    <w:p w14:paraId="59D844F7"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 dimensiunea capacității instalate a instalației de producere asociate sistemului de partajare a energiei trebuie să fie de maximum 6 MW;</w:t>
      </w:r>
    </w:p>
    <w:p w14:paraId="58DAA87F" w14:textId="103E14CC"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b) partajarea energiei are loc într-o zonă geografică locală sau limitată, astfel cum este definită de </w:t>
      </w:r>
      <w:r w:rsidRPr="0095697C">
        <w:rPr>
          <w:bCs/>
          <w:color w:val="000000" w:themeColor="text1"/>
        </w:rPr>
        <w:t>către</w:t>
      </w:r>
      <w:r w:rsidR="00BC23CA" w:rsidRPr="0095697C">
        <w:rPr>
          <w:bCs/>
          <w:color w:val="000000" w:themeColor="text1"/>
        </w:rPr>
        <w:t xml:space="preserve"> </w:t>
      </w:r>
      <w:r w:rsidRPr="0095697C">
        <w:rPr>
          <w:bCs/>
          <w:color w:val="000000" w:themeColor="text1"/>
        </w:rPr>
        <w:t>ANRE</w:t>
      </w:r>
      <w:r w:rsidRPr="0095697C">
        <w:rPr>
          <w:color w:val="000000" w:themeColor="text1"/>
        </w:rPr>
        <w:t>.</w:t>
      </w:r>
    </w:p>
    <w:p w14:paraId="577EF823"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(11) Operatorii de transport și de sistem sau operatorii de distribuție relevanți:</w:t>
      </w:r>
    </w:p>
    <w:p w14:paraId="3D02350D"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a) monitorizează, colectează, validează și comunică, cel puțin o dată pe lună, datele de contorizare referitoare la energia electrică partajată cu clienții finali și participanții la piață relevanți și în acest scop, instituie sistemele informatice adecvate;</w:t>
      </w:r>
    </w:p>
    <w:p w14:paraId="18BA0180"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b) pun la dispoziție un punct de contact relevant pentru:</w:t>
      </w:r>
    </w:p>
    <w:p w14:paraId="32D853CF" w14:textId="79A85FA4"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i) înregistrarea acordurilor de partajare a energiei;</w:t>
      </w:r>
    </w:p>
    <w:p w14:paraId="3013EA8A" w14:textId="4B6A0F23"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ii) punerea la dispoziție de informații practice pentru partajarea energiei;</w:t>
      </w:r>
    </w:p>
    <w:p w14:paraId="07198EC5" w14:textId="3ED39598"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iii) primirea de informații privind punctele de contorizare relevante, schimbările de amplasare și de participare; și</w:t>
      </w:r>
    </w:p>
    <w:p w14:paraId="7A86DED9" w14:textId="561EC6ED"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iv) dacă este cazul, validarea metodelor de calcul în mod clar, transparent și în timp util.</w:t>
      </w:r>
    </w:p>
    <w:p w14:paraId="23202F62"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(12) Modul de partajare a energiei se stabilește prin reglementările emise de ANRE. </w:t>
      </w:r>
    </w:p>
    <w:p w14:paraId="24C68284" w14:textId="75B0B3B3"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lastRenderedPageBreak/>
        <w:t xml:space="preserve">(13) Clienții vulnerabili și clienții afectați de sărăcia energetică au acces la sistemele de partajare a energiei, altele decât cele deținute de autoritățile publice, cu condiția implementării, de către autoritățile locale, prin decizia Consiliului Local a unor măsuri de sprijin financiar pentru energia partajată. </w:t>
      </w:r>
    </w:p>
    <w:p w14:paraId="6E89D978" w14:textId="77777777" w:rsidR="00402F4E" w:rsidRPr="0095697C" w:rsidRDefault="00402F4E" w:rsidP="00D0339D">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(14) Proiectele de partajare a energiei care sunt deținute de autoritățile publice pun energia electrică partajată la dispoziția clienților sau a cetățenilor vulnerabili sau afectați de sărăcia energetică. Cantitatea de energie accesibilă clienților vulnerabili sau afectați de săracie energetică este de cel puțin 10 % în medie din energia partajată.</w:t>
      </w:r>
    </w:p>
    <w:p w14:paraId="3968B06E" w14:textId="6C9ECA45"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 xml:space="preserve">Articolul 64 va avea următorul cuprins: </w:t>
      </w:r>
    </w:p>
    <w:p w14:paraId="00452BBB" w14:textId="77777777"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 Pentru stabilirea categoriilor de consumatori vulnerabili se au în vedere nivelurile veniturilor, ponderea cheltuielilor cu energia din venitul disponibil, eficienţa energetică a locuinţelor, dependenţa critică de echipamente electrice, din motive de sănătate, vârstă sau alte criterii.</w:t>
      </w:r>
    </w:p>
    <w:p w14:paraId="78AB4826" w14:textId="6EABAB0B"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(2) Clienții vulnerabili și clienții afectați de sărăcie energetică sunt protejați împotriva deconectării de la alimentarea cu energie electrică, în condițiile implementării de către autoritățile publice centrale, prin elaborare de norme legislative, sau de către autoritățile publice locale, prin decizia Consiliului Local a unor măsuri adecvate și fără a aduce atingere măsurilor prevăzute la articolul 62 alin. (4).</w:t>
      </w:r>
    </w:p>
    <w:p w14:paraId="5DFBC1E1" w14:textId="77777777"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(3) Orice măsuri care se adoptă privind consumatorii vulnerabili nu trebuie să împiedice deschiderea efectivă şi funcţionarea pieţei şi sunt notificate Comisiei, după caz, în conformitate cu legislaţia europeană. Aceste notificări pot, de asemenea, să includă măsurile luate în cadrul sistemului general de asigurări sociale.</w:t>
      </w:r>
    </w:p>
    <w:p w14:paraId="1E49C881" w14:textId="1518CA5E"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bookmarkStart w:id="7" w:name="_Hlk219198070"/>
      <w:r w:rsidRPr="0095697C">
        <w:rPr>
          <w:color w:val="000000" w:themeColor="text1"/>
        </w:rPr>
        <w:t>(4)  Ministerul Muncii, Familiei, Tineretului și Solidarității Sociale, împreună cu Ministerul Finanțelor și autoritățile publice locale, instituie</w:t>
      </w:r>
      <w:r w:rsidR="006760A9">
        <w:rPr>
          <w:color w:val="000000" w:themeColor="text1"/>
        </w:rPr>
        <w:t xml:space="preserve"> prin hotărâre a Guvernului, la propunerea</w:t>
      </w:r>
      <w:r w:rsidR="006760A9" w:rsidRPr="0095697C">
        <w:rPr>
          <w:color w:val="000000" w:themeColor="text1"/>
        </w:rPr>
        <w:t xml:space="preserve">  Ministerul</w:t>
      </w:r>
      <w:r w:rsidR="006760A9">
        <w:rPr>
          <w:color w:val="000000" w:themeColor="text1"/>
        </w:rPr>
        <w:t>ui</w:t>
      </w:r>
      <w:r w:rsidR="006760A9" w:rsidRPr="0095697C">
        <w:rPr>
          <w:color w:val="000000" w:themeColor="text1"/>
        </w:rPr>
        <w:t xml:space="preserve"> Muncii, Familiei, Tineretului și Solidarității Sociale</w:t>
      </w:r>
      <w:r w:rsidR="006760A9">
        <w:rPr>
          <w:color w:val="000000" w:themeColor="text1"/>
        </w:rPr>
        <w:t>,</w:t>
      </w:r>
      <w:r w:rsidRPr="0095697C">
        <w:rPr>
          <w:color w:val="000000" w:themeColor="text1"/>
        </w:rPr>
        <w:t xml:space="preserve"> măsuri pentru sprijinirea consumatorului vulnerabil și clienților afectați de sărăcie energetică, în scopul achitării facturilor.</w:t>
      </w:r>
    </w:p>
    <w:bookmarkEnd w:id="7"/>
    <w:p w14:paraId="0F9DC8B2" w14:textId="4A0BADC9" w:rsidR="00402F4E" w:rsidRPr="0095697C" w:rsidRDefault="004A3CCC"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w:t>
      </w:r>
      <w:r w:rsidR="00402F4E" w:rsidRPr="0095697C">
        <w:rPr>
          <w:color w:val="000000" w:themeColor="text1"/>
        </w:rPr>
        <w:t xml:space="preserve">5) Pentru a evita deconectarea pentru neplată a facturilor pentru energia electrică, furnizorii, precum și autoritatea publică locală de care aparțin clienții respectivi, comunică clienţilor vulnerabili și celor afectați de sărăcie energetică, informații cu privire la alternativele la  deconectare cu suficient timp înainte de data prevăzută a  deconectării. </w:t>
      </w:r>
    </w:p>
    <w:p w14:paraId="3329013F" w14:textId="2F38FE57"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(6) Măsurile alternative </w:t>
      </w:r>
      <w:r w:rsidR="001715E0" w:rsidRPr="0095697C">
        <w:rPr>
          <w:color w:val="000000" w:themeColor="text1"/>
        </w:rPr>
        <w:t xml:space="preserve">pot </w:t>
      </w:r>
      <w:r w:rsidRPr="0095697C">
        <w:rPr>
          <w:color w:val="000000" w:themeColor="text1"/>
        </w:rPr>
        <w:t>includ</w:t>
      </w:r>
      <w:r w:rsidR="001715E0" w:rsidRPr="0095697C">
        <w:rPr>
          <w:color w:val="000000" w:themeColor="text1"/>
        </w:rPr>
        <w:t>e</w:t>
      </w:r>
      <w:r w:rsidRPr="0095697C">
        <w:rPr>
          <w:color w:val="000000" w:themeColor="text1"/>
        </w:rPr>
        <w:t xml:space="preserve">, dar fără a se limita la acestea: educarea clienților și sensibilizarea acestora cu privire la drepturile lor privind gestionarea datoriilor, surse de sprijin pentru evitarea deconectării, sisteme de plată anticipată, audituri energetice, servicii de consultanţă în domeniul energiei, planuri alternative de plată, consiliere pentru gestionarea datoriilor. </w:t>
      </w:r>
    </w:p>
    <w:p w14:paraId="4721AAA6" w14:textId="60341B64"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(7) Autoritățile publice locale identific</w:t>
      </w:r>
      <w:r w:rsidR="004A3CCC" w:rsidRPr="0095697C">
        <w:rPr>
          <w:color w:val="000000" w:themeColor="text1"/>
        </w:rPr>
        <w:t>ă</w:t>
      </w:r>
      <w:r w:rsidRPr="0095697C">
        <w:rPr>
          <w:color w:val="000000" w:themeColor="text1"/>
        </w:rPr>
        <w:t xml:space="preserve"> și </w:t>
      </w:r>
      <w:r w:rsidR="004A3CCC" w:rsidRPr="0095697C">
        <w:rPr>
          <w:color w:val="000000" w:themeColor="text1"/>
        </w:rPr>
        <w:t>implementează</w:t>
      </w:r>
      <w:r w:rsidRPr="0095697C">
        <w:rPr>
          <w:color w:val="000000" w:themeColor="text1"/>
        </w:rPr>
        <w:t xml:space="preserve"> soluții</w:t>
      </w:r>
      <w:r w:rsidR="004A3CCC" w:rsidRPr="0095697C">
        <w:rPr>
          <w:color w:val="000000" w:themeColor="text1"/>
        </w:rPr>
        <w:t>le</w:t>
      </w:r>
      <w:r w:rsidRPr="0095697C">
        <w:rPr>
          <w:color w:val="000000" w:themeColor="text1"/>
        </w:rPr>
        <w:t xml:space="preserve"> pentru evitarea deconectării </w:t>
      </w:r>
      <w:r w:rsidR="004A3CCC" w:rsidRPr="0095697C">
        <w:rPr>
          <w:color w:val="000000" w:themeColor="text1"/>
        </w:rPr>
        <w:t xml:space="preserve">prevăzute la alin. (6) și (8) </w:t>
      </w:r>
      <w:r w:rsidRPr="0095697C">
        <w:rPr>
          <w:color w:val="000000" w:themeColor="text1"/>
        </w:rPr>
        <w:t>pentru clienții vulnerabili și cei afectați de sărăcie energetică</w:t>
      </w:r>
      <w:r w:rsidR="004A3CCC" w:rsidRPr="0095697C">
        <w:rPr>
          <w:color w:val="000000" w:themeColor="text1"/>
        </w:rPr>
        <w:t>.</w:t>
      </w:r>
    </w:p>
    <w:p w14:paraId="719C7732" w14:textId="77777777"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(8) Autoritățile publice locale au dreptul de a solicita furnizorului să nu dispună deconectarea clienților vulnerabili și/sau a celor afectați de sărăcie energetică, dar numai în condițiile suportării, </w:t>
      </w:r>
      <w:r w:rsidRPr="0095697C">
        <w:rPr>
          <w:color w:val="000000" w:themeColor="text1"/>
        </w:rPr>
        <w:lastRenderedPageBreak/>
        <w:t>de către autoritățile respective, a plății contravalorii energiei neachitate de clienții vulnerabili și cei afectați de sărăcie energetică, în termenele stabilite de legislația în vigoare.</w:t>
      </w:r>
    </w:p>
    <w:p w14:paraId="1A95B1A7" w14:textId="0D8E418A"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(9) Nicio măsură de sprijin implementată de autoritățile locale nu trebuie să creeze un prejudiciu financiar furnizorului de energie al clienților vulnerabili și/sau a celor afectați de sărăcie energetică</w:t>
      </w:r>
      <w:r w:rsidRPr="0095697C">
        <w:rPr>
          <w:bCs/>
          <w:color w:val="000000" w:themeColor="text1"/>
        </w:rPr>
        <w:t>.</w:t>
      </w:r>
      <w:r w:rsidR="00684891" w:rsidRPr="0095697C">
        <w:rPr>
          <w:bCs/>
          <w:color w:val="000000" w:themeColor="text1"/>
        </w:rPr>
        <w:t>”</w:t>
      </w:r>
    </w:p>
    <w:p w14:paraId="21806277" w14:textId="028BBBD4" w:rsidR="00FE19F3" w:rsidRPr="0095697C" w:rsidRDefault="00FE19F3" w:rsidP="00FE19F3">
      <w:pPr>
        <w:pStyle w:val="Heading1"/>
        <w:spacing w:beforeLines="50" w:before="120" w:afterLines="50" w:after="120"/>
        <w:ind w:left="450" w:hanging="450"/>
        <w:contextualSpacing w:val="0"/>
        <w:rPr>
          <w:rFonts w:ascii="Times New Roman" w:hAnsi="Times New Roman" w:cs="Times New Roman"/>
        </w:rPr>
      </w:pPr>
      <w:r w:rsidRPr="0095697C">
        <w:rPr>
          <w:rFonts w:ascii="Times New Roman" w:hAnsi="Times New Roman" w:cs="Times New Roman"/>
        </w:rPr>
        <w:t>După articolul 6</w:t>
      </w:r>
      <w:r w:rsidR="006E385A" w:rsidRPr="0095697C">
        <w:rPr>
          <w:rFonts w:ascii="Times New Roman" w:hAnsi="Times New Roman" w:cs="Times New Roman"/>
        </w:rPr>
        <w:t>6</w:t>
      </w:r>
      <w:r w:rsidRPr="0095697C">
        <w:rPr>
          <w:rFonts w:ascii="Times New Roman" w:hAnsi="Times New Roman" w:cs="Times New Roman"/>
          <w:vertAlign w:val="superscript"/>
        </w:rPr>
        <w:t>4</w:t>
      </w:r>
      <w:r w:rsidRPr="0095697C">
        <w:rPr>
          <w:rFonts w:ascii="Times New Roman" w:hAnsi="Times New Roman" w:cs="Times New Roman"/>
        </w:rPr>
        <w:t xml:space="preserve"> se introduc </w:t>
      </w:r>
      <w:r w:rsidR="001474E4" w:rsidRPr="0095697C">
        <w:rPr>
          <w:rFonts w:ascii="Times New Roman" w:hAnsi="Times New Roman" w:cs="Times New Roman"/>
        </w:rPr>
        <w:t>cinci</w:t>
      </w:r>
      <w:r w:rsidR="0061036E" w:rsidRPr="0095697C">
        <w:rPr>
          <w:rFonts w:ascii="Times New Roman" w:hAnsi="Times New Roman" w:cs="Times New Roman"/>
        </w:rPr>
        <w:t xml:space="preserve"> </w:t>
      </w:r>
      <w:r w:rsidRPr="0095697C">
        <w:rPr>
          <w:rFonts w:ascii="Times New Roman" w:hAnsi="Times New Roman" w:cs="Times New Roman"/>
        </w:rPr>
        <w:t>noi articole, art. 6</w:t>
      </w:r>
      <w:r w:rsidR="006E385A" w:rsidRPr="0095697C">
        <w:rPr>
          <w:rFonts w:ascii="Times New Roman" w:hAnsi="Times New Roman" w:cs="Times New Roman"/>
        </w:rPr>
        <w:t>6</w:t>
      </w:r>
      <w:r w:rsidRPr="0095697C">
        <w:rPr>
          <w:rFonts w:ascii="Times New Roman" w:hAnsi="Times New Roman" w:cs="Times New Roman"/>
          <w:vertAlign w:val="superscript"/>
        </w:rPr>
        <w:t>5</w:t>
      </w:r>
      <w:r w:rsidRPr="0095697C">
        <w:rPr>
          <w:rFonts w:ascii="Times New Roman" w:hAnsi="Times New Roman" w:cs="Times New Roman"/>
        </w:rPr>
        <w:t>-6</w:t>
      </w:r>
      <w:r w:rsidR="006E385A" w:rsidRPr="0095697C">
        <w:rPr>
          <w:rFonts w:ascii="Times New Roman" w:hAnsi="Times New Roman" w:cs="Times New Roman"/>
        </w:rPr>
        <w:t>6</w:t>
      </w:r>
      <w:r w:rsidR="001474E4" w:rsidRPr="0095697C">
        <w:rPr>
          <w:rFonts w:ascii="Times New Roman" w:hAnsi="Times New Roman" w:cs="Times New Roman"/>
          <w:vertAlign w:val="superscript"/>
        </w:rPr>
        <w:t>9</w:t>
      </w:r>
      <w:r w:rsidRPr="0095697C">
        <w:rPr>
          <w:rFonts w:ascii="Times New Roman" w:hAnsi="Times New Roman" w:cs="Times New Roman"/>
        </w:rPr>
        <w:t>,cu următorul cuprins:</w:t>
      </w:r>
    </w:p>
    <w:p w14:paraId="0677EB35" w14:textId="171A1344" w:rsidR="00FE19F3" w:rsidRPr="0095697C" w:rsidRDefault="00FE19F3" w:rsidP="00FE19F3">
      <w:pPr>
        <w:spacing w:beforeLines="50" w:afterLines="50" w:after="120"/>
        <w:ind w:left="0" w:firstLine="0"/>
        <w:rPr>
          <w:bCs/>
          <w:color w:val="000000" w:themeColor="text1"/>
        </w:rPr>
      </w:pPr>
      <w:r w:rsidRPr="0095697C">
        <w:rPr>
          <w:bCs/>
          <w:color w:val="000000" w:themeColor="text1"/>
        </w:rPr>
        <w:t>” Achizitorul unic</w:t>
      </w:r>
    </w:p>
    <w:p w14:paraId="3CFC8878" w14:textId="45B1604C" w:rsidR="006F4C2C" w:rsidRPr="0095697C" w:rsidRDefault="00FE19F3" w:rsidP="006F4C2C">
      <w:pPr>
        <w:spacing w:beforeLines="50" w:afterLines="50" w:after="120"/>
        <w:ind w:left="0" w:firstLine="0"/>
        <w:rPr>
          <w:bCs/>
          <w:color w:val="000000" w:themeColor="text1"/>
        </w:rPr>
      </w:pPr>
      <w:r w:rsidRPr="0095697C">
        <w:rPr>
          <w:b/>
          <w:color w:val="000000" w:themeColor="text1"/>
        </w:rPr>
        <w:t>Art. 6</w:t>
      </w:r>
      <w:r w:rsidR="00702F2E" w:rsidRPr="0095697C">
        <w:rPr>
          <w:b/>
          <w:color w:val="000000" w:themeColor="text1"/>
        </w:rPr>
        <w:t>6</w:t>
      </w:r>
      <w:r w:rsidRPr="0095697C">
        <w:rPr>
          <w:b/>
          <w:color w:val="000000" w:themeColor="text1"/>
          <w:vertAlign w:val="superscript"/>
        </w:rPr>
        <w:t>5</w:t>
      </w:r>
      <w:r w:rsidRPr="0095697C">
        <w:rPr>
          <w:bCs/>
          <w:color w:val="000000" w:themeColor="text1"/>
        </w:rPr>
        <w:t xml:space="preserve"> - </w:t>
      </w:r>
      <w:r w:rsidR="006F4C2C" w:rsidRPr="0095697C">
        <w:rPr>
          <w:bCs/>
          <w:color w:val="000000" w:themeColor="text1"/>
        </w:rPr>
        <w:t>(1) Achizitorul unic</w:t>
      </w:r>
      <w:r w:rsidR="001E7082" w:rsidRPr="0095697C">
        <w:rPr>
          <w:bCs/>
          <w:color w:val="000000" w:themeColor="text1"/>
        </w:rPr>
        <w:t>, titular al unei licențe pentru activitatea de agregare,</w:t>
      </w:r>
      <w:r w:rsidR="006F4C2C" w:rsidRPr="0095697C">
        <w:rPr>
          <w:bCs/>
          <w:color w:val="000000" w:themeColor="text1"/>
        </w:rPr>
        <w:t xml:space="preserve"> este organizat sub forma unei societăți pe acțiuni, acționând fără scop comercial, în interesul exclusiv al operatorilor mandanți.</w:t>
      </w:r>
    </w:p>
    <w:p w14:paraId="787FCAC3" w14:textId="40C82ADD" w:rsidR="006F4C2C" w:rsidRPr="0095697C" w:rsidRDefault="006F4C2C" w:rsidP="006F4C2C">
      <w:pPr>
        <w:spacing w:beforeLines="50" w:afterLines="50" w:after="120"/>
        <w:ind w:left="0" w:firstLine="0"/>
        <w:rPr>
          <w:bCs/>
          <w:color w:val="000000" w:themeColor="text1"/>
        </w:rPr>
      </w:pPr>
      <w:r w:rsidRPr="0095697C">
        <w:rPr>
          <w:bCs/>
          <w:color w:val="000000" w:themeColor="text1"/>
        </w:rPr>
        <w:t>(</w:t>
      </w:r>
      <w:r w:rsidR="001E7082" w:rsidRPr="0095697C">
        <w:rPr>
          <w:bCs/>
          <w:color w:val="000000" w:themeColor="text1"/>
        </w:rPr>
        <w:t>2</w:t>
      </w:r>
      <w:r w:rsidRPr="0095697C">
        <w:rPr>
          <w:bCs/>
          <w:color w:val="000000" w:themeColor="text1"/>
        </w:rPr>
        <w:t>) Capitalul social al achizitorului unic poate fi deținut exclusiv de operatorii de distribuție</w:t>
      </w:r>
      <w:r w:rsidR="0061036E" w:rsidRPr="0095697C">
        <w:rPr>
          <w:bCs/>
          <w:color w:val="000000" w:themeColor="text1"/>
        </w:rPr>
        <w:t xml:space="preserve"> concesionari</w:t>
      </w:r>
      <w:r w:rsidRPr="0095697C">
        <w:rPr>
          <w:bCs/>
          <w:color w:val="000000" w:themeColor="text1"/>
        </w:rPr>
        <w:t xml:space="preserve"> și</w:t>
      </w:r>
      <w:r w:rsidR="0061036E" w:rsidRPr="0095697C">
        <w:rPr>
          <w:bCs/>
          <w:color w:val="000000" w:themeColor="text1"/>
        </w:rPr>
        <w:t>/sau</w:t>
      </w:r>
      <w:r w:rsidRPr="0095697C">
        <w:rPr>
          <w:bCs/>
          <w:color w:val="000000" w:themeColor="text1"/>
        </w:rPr>
        <w:t xml:space="preserve"> de operatorul de transport și de sistem, </w:t>
      </w:r>
      <w:r w:rsidR="0061036E" w:rsidRPr="0095697C">
        <w:rPr>
          <w:bCs/>
          <w:color w:val="000000" w:themeColor="text1"/>
        </w:rPr>
        <w:t>licențiați</w:t>
      </w:r>
      <w:r w:rsidRPr="0095697C">
        <w:rPr>
          <w:bCs/>
          <w:color w:val="000000" w:themeColor="text1"/>
        </w:rPr>
        <w:t xml:space="preserve"> potrivit legii.</w:t>
      </w:r>
    </w:p>
    <w:p w14:paraId="3942B2CF" w14:textId="5A21364D" w:rsidR="0061036E" w:rsidRPr="0095697C" w:rsidRDefault="0061036E" w:rsidP="0061036E">
      <w:pPr>
        <w:spacing w:beforeLines="50" w:afterLines="50" w:after="120"/>
        <w:ind w:left="0" w:firstLine="0"/>
      </w:pPr>
      <w:r w:rsidRPr="0095697C">
        <w:t>(</w:t>
      </w:r>
      <w:r w:rsidR="001E7082" w:rsidRPr="0095697C">
        <w:t>3</w:t>
      </w:r>
      <w:r w:rsidRPr="0095697C">
        <w:t xml:space="preserve">) Operatorii de distribuție și/sau operatorul de transport </w:t>
      </w:r>
      <w:r w:rsidR="00153C84" w:rsidRPr="0095697C">
        <w:t xml:space="preserve">și sistem </w:t>
      </w:r>
      <w:r w:rsidRPr="0095697C">
        <w:t>pot participa voluntar la mecanismul de achizitor unic.</w:t>
      </w:r>
    </w:p>
    <w:p w14:paraId="302C866D" w14:textId="472D15E4" w:rsidR="0061036E" w:rsidRPr="0095697C" w:rsidRDefault="0061036E" w:rsidP="0061036E">
      <w:pPr>
        <w:spacing w:beforeLines="50" w:afterLines="50" w:after="120"/>
        <w:ind w:left="0" w:firstLine="0"/>
        <w:rPr>
          <w:bCs/>
          <w:color w:val="000000" w:themeColor="text1"/>
        </w:rPr>
      </w:pPr>
      <w:r w:rsidRPr="0095697C">
        <w:rPr>
          <w:b/>
          <w:color w:val="000000" w:themeColor="text1"/>
        </w:rPr>
        <w:t>Art. 6</w:t>
      </w:r>
      <w:r w:rsidR="00702F2E" w:rsidRPr="0095697C">
        <w:rPr>
          <w:b/>
          <w:color w:val="000000" w:themeColor="text1"/>
        </w:rPr>
        <w:t>6</w:t>
      </w:r>
      <w:r w:rsidRPr="0095697C">
        <w:rPr>
          <w:b/>
          <w:color w:val="000000" w:themeColor="text1"/>
          <w:vertAlign w:val="superscript"/>
        </w:rPr>
        <w:t>6</w:t>
      </w:r>
      <w:r w:rsidRPr="0095697C">
        <w:rPr>
          <w:bCs/>
          <w:color w:val="000000" w:themeColor="text1"/>
        </w:rPr>
        <w:t xml:space="preserve"> - (1) Achizitorul unic achiziționează, în comun, până la 70% din necesarul anual agregat de energie electrică destinat exclusiv acoperirii consumului propriu tehnologic al rețelelor și/sau locurilor proprii de consum ale operatorilor de distribuție și/sau transport care au calitatea de acționari.</w:t>
      </w:r>
    </w:p>
    <w:p w14:paraId="625D9625" w14:textId="06217DD6" w:rsidR="0061036E" w:rsidRPr="0095697C" w:rsidRDefault="0061036E" w:rsidP="0061036E">
      <w:pPr>
        <w:spacing w:beforeLines="50" w:afterLines="50" w:after="120"/>
        <w:ind w:left="0" w:firstLine="0"/>
        <w:rPr>
          <w:bCs/>
          <w:color w:val="000000" w:themeColor="text1"/>
        </w:rPr>
      </w:pPr>
      <w:r w:rsidRPr="0095697C">
        <w:rPr>
          <w:bCs/>
          <w:color w:val="000000" w:themeColor="text1"/>
        </w:rPr>
        <w:t xml:space="preserve">(2) Achizitorul unic achiziționează energia electrică prin participarea la piețele centralizate de energie electrică la termen și prin încheierea de contracte bilaterale negociate direct, inclusiv contracte pe termen lung în condițiile legii. </w:t>
      </w:r>
    </w:p>
    <w:p w14:paraId="4FDBCF9F" w14:textId="6A2EF066" w:rsidR="0061036E" w:rsidRPr="0095697C" w:rsidRDefault="0061036E" w:rsidP="0061036E">
      <w:pPr>
        <w:spacing w:beforeLines="50" w:afterLines="50" w:after="120"/>
        <w:ind w:left="0" w:firstLine="0"/>
        <w:rPr>
          <w:bCs/>
          <w:color w:val="000000" w:themeColor="text1"/>
        </w:rPr>
      </w:pPr>
      <w:r w:rsidRPr="0095697C">
        <w:rPr>
          <w:bCs/>
          <w:color w:val="000000" w:themeColor="text1"/>
        </w:rPr>
        <w:t>(</w:t>
      </w:r>
      <w:r w:rsidR="00E75781" w:rsidRPr="0095697C">
        <w:rPr>
          <w:bCs/>
          <w:color w:val="000000" w:themeColor="text1"/>
        </w:rPr>
        <w:t>3</w:t>
      </w:r>
      <w:r w:rsidRPr="0095697C">
        <w:rPr>
          <w:bCs/>
          <w:color w:val="000000" w:themeColor="text1"/>
        </w:rPr>
        <w:t>) Achizitorul unic nu desfășoară activități de tranzacționare pe PZU, PI și PE.</w:t>
      </w:r>
    </w:p>
    <w:p w14:paraId="3F0C271B" w14:textId="25C96D7F" w:rsidR="006F4C2C" w:rsidRPr="0095697C" w:rsidRDefault="0061036E" w:rsidP="0061036E">
      <w:pPr>
        <w:spacing w:beforeLines="50" w:afterLines="50" w:after="120"/>
        <w:ind w:left="0" w:firstLine="0"/>
        <w:rPr>
          <w:bCs/>
          <w:color w:val="000000" w:themeColor="text1"/>
        </w:rPr>
      </w:pPr>
      <w:r w:rsidRPr="0095697C">
        <w:rPr>
          <w:bCs/>
          <w:color w:val="000000" w:themeColor="text1"/>
        </w:rPr>
        <w:t>(</w:t>
      </w:r>
      <w:r w:rsidR="00E75781" w:rsidRPr="0095697C">
        <w:rPr>
          <w:bCs/>
          <w:color w:val="000000" w:themeColor="text1"/>
        </w:rPr>
        <w:t>4</w:t>
      </w:r>
      <w:r w:rsidRPr="0095697C">
        <w:rPr>
          <w:bCs/>
          <w:color w:val="000000" w:themeColor="text1"/>
        </w:rPr>
        <w:t xml:space="preserve">) Costurile fixe și variabile aferente activității achizitorului unic se alocă în mod transparent și proporțional, conform metodologiilor aprobate de ANRE. </w:t>
      </w:r>
    </w:p>
    <w:p w14:paraId="3F394D19" w14:textId="3B7A5EF4" w:rsidR="0061036E" w:rsidRPr="0095697C" w:rsidRDefault="0061036E" w:rsidP="0061036E">
      <w:pPr>
        <w:spacing w:beforeLines="50" w:afterLines="50" w:after="120"/>
        <w:ind w:left="0" w:firstLine="0"/>
        <w:rPr>
          <w:color w:val="000000" w:themeColor="text1"/>
        </w:rPr>
      </w:pPr>
      <w:r w:rsidRPr="0095697C">
        <w:rPr>
          <w:b/>
          <w:color w:val="000000" w:themeColor="text1"/>
        </w:rPr>
        <w:t>Art. 6</w:t>
      </w:r>
      <w:r w:rsidR="00702F2E" w:rsidRPr="0095697C">
        <w:rPr>
          <w:b/>
          <w:color w:val="000000" w:themeColor="text1"/>
        </w:rPr>
        <w:t>6</w:t>
      </w:r>
      <w:r w:rsidRPr="0095697C">
        <w:rPr>
          <w:b/>
          <w:color w:val="000000" w:themeColor="text1"/>
          <w:vertAlign w:val="superscript"/>
        </w:rPr>
        <w:t>7</w:t>
      </w:r>
      <w:r w:rsidRPr="0095697C">
        <w:rPr>
          <w:bCs/>
          <w:color w:val="000000" w:themeColor="text1"/>
        </w:rPr>
        <w:t xml:space="preserve"> -</w:t>
      </w:r>
      <w:r w:rsidRPr="0095697C">
        <w:rPr>
          <w:color w:val="EE0000"/>
        </w:rPr>
        <w:t xml:space="preserve"> </w:t>
      </w:r>
      <w:r w:rsidRPr="0095697C">
        <w:rPr>
          <w:color w:val="000000" w:themeColor="text1"/>
        </w:rPr>
        <w:t xml:space="preserve">Achizițiile realizate de către achizitorul unic se desfășoară cu respectarea principiilor concurenței, transparenței și funcționării eficiente a piețelor angro și cu amănuntul, fiind permise derogări de la aceste principii numai în măsura strict necesară pentru atingerea obiectivelor prezentei legi. </w:t>
      </w:r>
    </w:p>
    <w:p w14:paraId="3D79CF79" w14:textId="60998ADC" w:rsidR="0061036E" w:rsidRPr="0095697C" w:rsidRDefault="0061036E" w:rsidP="0061036E">
      <w:pPr>
        <w:spacing w:beforeLines="50" w:afterLines="50" w:after="120"/>
        <w:ind w:left="0" w:firstLine="0"/>
        <w:rPr>
          <w:color w:val="000000" w:themeColor="text1"/>
        </w:rPr>
      </w:pPr>
      <w:r w:rsidRPr="0095697C">
        <w:rPr>
          <w:b/>
          <w:color w:val="000000" w:themeColor="text1"/>
        </w:rPr>
        <w:t>Art. 6</w:t>
      </w:r>
      <w:r w:rsidR="00702F2E" w:rsidRPr="0095697C">
        <w:rPr>
          <w:b/>
          <w:color w:val="000000" w:themeColor="text1"/>
        </w:rPr>
        <w:t>6</w:t>
      </w:r>
      <w:r w:rsidRPr="0095697C">
        <w:rPr>
          <w:b/>
          <w:color w:val="000000" w:themeColor="text1"/>
          <w:vertAlign w:val="superscript"/>
        </w:rPr>
        <w:t>8</w:t>
      </w:r>
      <w:r w:rsidRPr="0095697C">
        <w:rPr>
          <w:bCs/>
          <w:color w:val="000000" w:themeColor="text1"/>
        </w:rPr>
        <w:t xml:space="preserve"> -</w:t>
      </w:r>
      <w:r w:rsidRPr="0095697C">
        <w:rPr>
          <w:color w:val="EE0000"/>
        </w:rPr>
        <w:t xml:space="preserve"> </w:t>
      </w:r>
      <w:r w:rsidRPr="0095697C">
        <w:rPr>
          <w:color w:val="000000" w:themeColor="text1"/>
        </w:rPr>
        <w:t xml:space="preserve">Operatorii de distribuție și/sau operatorul de transport și de sistem își </w:t>
      </w:r>
      <w:r w:rsidR="00856371" w:rsidRPr="0095697C">
        <w:rPr>
          <w:color w:val="000000" w:themeColor="text1"/>
        </w:rPr>
        <w:t xml:space="preserve">asigură, individual, </w:t>
      </w:r>
      <w:r w:rsidRPr="0095697C">
        <w:rPr>
          <w:color w:val="000000" w:themeColor="text1"/>
        </w:rPr>
        <w:t xml:space="preserve">necesarul </w:t>
      </w:r>
      <w:r w:rsidR="00856371" w:rsidRPr="0095697C">
        <w:rPr>
          <w:color w:val="000000" w:themeColor="text1"/>
        </w:rPr>
        <w:t>de energie electrică pentru diferența de energie electrică necesară acoperirii consumului propriu tehnologic și a consumului propriu al operatorilor, care nu face obiectul achizițiilor realizate prin achizitorul unic,</w:t>
      </w:r>
      <w:r w:rsidR="00856371" w:rsidRPr="0095697C">
        <w:t xml:space="preserve"> </w:t>
      </w:r>
      <w:r w:rsidR="00856371" w:rsidRPr="0095697C">
        <w:rPr>
          <w:color w:val="000000" w:themeColor="text1"/>
        </w:rPr>
        <w:t>cu respectarea prevederilor prezentei legi și reglementărilor ANRE aplicabile.</w:t>
      </w:r>
    </w:p>
    <w:p w14:paraId="35750BA1" w14:textId="3295DFE7" w:rsidR="00856371" w:rsidRPr="0095697C" w:rsidRDefault="00856371" w:rsidP="00856371">
      <w:pPr>
        <w:spacing w:beforeLines="50" w:afterLines="50" w:after="120"/>
        <w:ind w:left="0" w:firstLine="0"/>
        <w:rPr>
          <w:color w:val="000000" w:themeColor="text1"/>
        </w:rPr>
      </w:pPr>
      <w:r w:rsidRPr="0095697C">
        <w:rPr>
          <w:b/>
          <w:color w:val="000000" w:themeColor="text1"/>
        </w:rPr>
        <w:t>Art. 6</w:t>
      </w:r>
      <w:r w:rsidR="00183EDF">
        <w:rPr>
          <w:b/>
          <w:color w:val="000000" w:themeColor="text1"/>
        </w:rPr>
        <w:t>6</w:t>
      </w:r>
      <w:r w:rsidRPr="0095697C">
        <w:rPr>
          <w:b/>
          <w:color w:val="000000" w:themeColor="text1"/>
          <w:vertAlign w:val="superscript"/>
        </w:rPr>
        <w:t>9</w:t>
      </w:r>
      <w:r w:rsidRPr="0095697C">
        <w:rPr>
          <w:bCs/>
          <w:color w:val="000000" w:themeColor="text1"/>
        </w:rPr>
        <w:t xml:space="preserve"> -</w:t>
      </w:r>
      <w:r w:rsidRPr="0095697C">
        <w:rPr>
          <w:color w:val="EE0000"/>
        </w:rPr>
        <w:t xml:space="preserve"> </w:t>
      </w:r>
      <w:r w:rsidRPr="0095697C">
        <w:rPr>
          <w:color w:val="000000" w:themeColor="text1"/>
        </w:rPr>
        <w:t>ANRE elaborează și aprobă, prin ordin, reglementările necesare funcționării achizitorului unic, care stabilesc cel puțin următoarele elemente:</w:t>
      </w:r>
    </w:p>
    <w:p w14:paraId="664BEDF0" w14:textId="77777777" w:rsidR="00856371" w:rsidRPr="0095697C" w:rsidRDefault="00856371" w:rsidP="00856371">
      <w:pPr>
        <w:spacing w:beforeLines="50" w:afterLines="50" w:after="120"/>
        <w:ind w:left="0" w:firstLine="0"/>
        <w:rPr>
          <w:color w:val="000000" w:themeColor="text1"/>
        </w:rPr>
      </w:pPr>
      <w:r w:rsidRPr="0095697C">
        <w:rPr>
          <w:color w:val="000000" w:themeColor="text1"/>
        </w:rPr>
        <w:lastRenderedPageBreak/>
        <w:t>a) obiectivele și funcțiile achizitorului unic;</w:t>
      </w:r>
    </w:p>
    <w:p w14:paraId="6E6B7472" w14:textId="1412A6F3" w:rsidR="00856371" w:rsidRPr="0095697C" w:rsidRDefault="0057341F" w:rsidP="00856371">
      <w:pPr>
        <w:spacing w:beforeLines="50" w:afterLines="50" w:after="120"/>
        <w:ind w:left="0" w:firstLine="0"/>
        <w:rPr>
          <w:color w:val="000000" w:themeColor="text1"/>
        </w:rPr>
      </w:pPr>
      <w:r w:rsidRPr="0095697C">
        <w:rPr>
          <w:color w:val="000000" w:themeColor="text1"/>
        </w:rPr>
        <w:t>b</w:t>
      </w:r>
      <w:r w:rsidR="00856371" w:rsidRPr="0095697C">
        <w:rPr>
          <w:color w:val="000000" w:themeColor="text1"/>
        </w:rPr>
        <w:t>) regimul de acordare a licenței;</w:t>
      </w:r>
    </w:p>
    <w:p w14:paraId="2B5F1B6C" w14:textId="2A9B6742" w:rsidR="00856371" w:rsidRPr="0095697C" w:rsidRDefault="0057341F" w:rsidP="00856371">
      <w:pPr>
        <w:spacing w:beforeLines="50" w:afterLines="50" w:after="120"/>
        <w:ind w:left="0" w:firstLine="0"/>
        <w:rPr>
          <w:color w:val="000000" w:themeColor="text1"/>
        </w:rPr>
      </w:pPr>
      <w:r w:rsidRPr="0095697C">
        <w:rPr>
          <w:color w:val="000000" w:themeColor="text1"/>
        </w:rPr>
        <w:t>c</w:t>
      </w:r>
      <w:r w:rsidR="00856371" w:rsidRPr="0095697C">
        <w:rPr>
          <w:color w:val="000000" w:themeColor="text1"/>
        </w:rPr>
        <w:t>) cerințele de gestionare a riscurilor, respectiv de preț, volum, garanții, lichiditate, operaționalitate și conformitate;</w:t>
      </w:r>
    </w:p>
    <w:p w14:paraId="127D2317" w14:textId="26D5248C" w:rsidR="00856371" w:rsidRPr="0095697C" w:rsidRDefault="0057341F" w:rsidP="00856371">
      <w:pPr>
        <w:spacing w:beforeLines="50" w:afterLines="50" w:after="120"/>
        <w:ind w:left="0" w:firstLine="0"/>
        <w:rPr>
          <w:color w:val="000000" w:themeColor="text1"/>
        </w:rPr>
      </w:pPr>
      <w:r w:rsidRPr="0095697C">
        <w:rPr>
          <w:color w:val="000000" w:themeColor="text1"/>
        </w:rPr>
        <w:t>d</w:t>
      </w:r>
      <w:r w:rsidR="00856371" w:rsidRPr="0095697C">
        <w:rPr>
          <w:color w:val="000000" w:themeColor="text1"/>
        </w:rPr>
        <w:t>) metodologia de stabilire a tarifului achizitorului unic;</w:t>
      </w:r>
    </w:p>
    <w:p w14:paraId="7AABC82F" w14:textId="24A6E88D" w:rsidR="00856371" w:rsidRPr="0095697C" w:rsidRDefault="00856371" w:rsidP="00856371">
      <w:pPr>
        <w:spacing w:beforeLines="50" w:afterLines="50" w:after="120"/>
        <w:ind w:left="0" w:firstLine="0"/>
        <w:rPr>
          <w:color w:val="000000" w:themeColor="text1"/>
        </w:rPr>
      </w:pPr>
      <w:r w:rsidRPr="0095697C">
        <w:rPr>
          <w:color w:val="000000" w:themeColor="text1"/>
        </w:rPr>
        <w:t>e) modalitățile de alocare a tarifului achizitorului unic în tarifele de distribuție și/sau transport;</w:t>
      </w:r>
    </w:p>
    <w:p w14:paraId="66C125C1" w14:textId="7899B55D" w:rsidR="0061036E" w:rsidRPr="0095697C" w:rsidRDefault="00856371" w:rsidP="0061036E">
      <w:pPr>
        <w:spacing w:beforeLines="50" w:afterLines="50" w:after="120"/>
        <w:ind w:left="0" w:firstLine="0"/>
        <w:rPr>
          <w:bCs/>
          <w:color w:val="000000" w:themeColor="text1"/>
        </w:rPr>
      </w:pPr>
      <w:r w:rsidRPr="0095697C">
        <w:rPr>
          <w:color w:val="000000" w:themeColor="text1"/>
        </w:rPr>
        <w:t>f) regulile de transparență, raportare și control.”</w:t>
      </w:r>
    </w:p>
    <w:p w14:paraId="7BCD0A23" w14:textId="5D84C2D3" w:rsidR="00402F4E" w:rsidRPr="0095697C" w:rsidRDefault="00402F4E" w:rsidP="001D3DE1">
      <w:pPr>
        <w:pStyle w:val="Heading1"/>
        <w:spacing w:beforeLines="50" w:before="120" w:afterLines="50" w:after="120"/>
        <w:ind w:left="450" w:hanging="450"/>
        <w:contextualSpacing w:val="0"/>
        <w:rPr>
          <w:rFonts w:ascii="Times New Roman" w:hAnsi="Times New Roman" w:cs="Times New Roman"/>
        </w:rPr>
      </w:pPr>
      <w:r w:rsidRPr="0095697C">
        <w:rPr>
          <w:rFonts w:ascii="Times New Roman" w:hAnsi="Times New Roman" w:cs="Times New Roman"/>
        </w:rPr>
        <w:t xml:space="preserve">La art. 72, după alineatul (2) se introduce un nou alineat, </w:t>
      </w:r>
      <w:r w:rsidR="00193435" w:rsidRPr="0095697C">
        <w:rPr>
          <w:rFonts w:ascii="Times New Roman" w:hAnsi="Times New Roman" w:cs="Times New Roman"/>
        </w:rPr>
        <w:t>alin.</w:t>
      </w:r>
      <w:r w:rsidRPr="0095697C">
        <w:rPr>
          <w:rFonts w:ascii="Times New Roman" w:hAnsi="Times New Roman" w:cs="Times New Roman"/>
        </w:rPr>
        <w:t xml:space="preserve"> (3)</w:t>
      </w:r>
      <w:r w:rsidR="00FE19F3" w:rsidRPr="0095697C">
        <w:rPr>
          <w:rFonts w:ascii="Times New Roman" w:hAnsi="Times New Roman" w:cs="Times New Roman"/>
        </w:rPr>
        <w:t>,</w:t>
      </w:r>
      <w:r w:rsidRPr="0095697C">
        <w:rPr>
          <w:rFonts w:ascii="Times New Roman" w:hAnsi="Times New Roman" w:cs="Times New Roman"/>
        </w:rPr>
        <w:t xml:space="preserve"> cu următorul cuprins:</w:t>
      </w:r>
    </w:p>
    <w:p w14:paraId="040AE2F2" w14:textId="6C74DBB3" w:rsidR="00402F4E" w:rsidRPr="0095697C" w:rsidRDefault="00684891" w:rsidP="00402F4E">
      <w:pPr>
        <w:spacing w:beforeLines="50" w:afterLines="50" w:after="120"/>
        <w:ind w:left="0" w:firstLine="0"/>
        <w:rPr>
          <w:bCs/>
          <w:color w:val="000000" w:themeColor="text1"/>
        </w:rPr>
      </w:pPr>
      <w:r w:rsidRPr="0095697C">
        <w:rPr>
          <w:bCs/>
          <w:color w:val="000000" w:themeColor="text1"/>
        </w:rPr>
        <w:t>”</w:t>
      </w:r>
      <w:r w:rsidR="00402F4E" w:rsidRPr="0095697C">
        <w:rPr>
          <w:bCs/>
          <w:color w:val="000000" w:themeColor="text1"/>
        </w:rPr>
        <w:t>(3) Pentru capacitățile de producere de energie solară, eoliană, geotermală, hidroelectrica fără rezervo</w:t>
      </w:r>
      <w:r w:rsidR="001474E4" w:rsidRPr="0095697C">
        <w:rPr>
          <w:bCs/>
          <w:color w:val="000000" w:themeColor="text1"/>
        </w:rPr>
        <w:t>r</w:t>
      </w:r>
      <w:r w:rsidR="00402F4E" w:rsidRPr="0095697C">
        <w:rPr>
          <w:bCs/>
          <w:color w:val="000000" w:themeColor="text1"/>
        </w:rPr>
        <w:t xml:space="preserve"> si nucleară, care necesită licența de exploatare comercială, se aplică, în principal, schemele de sprijinire directă a preţurilor pentru investiţii în noi instalaţii de producere a energiei electrice sub forma unor contracte bidirecţionale pentru diferenţă sau a unor scheme echivalente cu aceleași efecte.</w:t>
      </w:r>
      <w:r w:rsidRPr="0095697C">
        <w:rPr>
          <w:bCs/>
          <w:color w:val="000000" w:themeColor="text1"/>
        </w:rPr>
        <w:t>”</w:t>
      </w:r>
    </w:p>
    <w:p w14:paraId="30B105B4" w14:textId="14E8D4ED"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La articolul 73</w:t>
      </w:r>
      <w:r w:rsidRPr="0095697C">
        <w:rPr>
          <w:rFonts w:ascii="Times New Roman" w:hAnsi="Times New Roman"/>
          <w:vertAlign w:val="superscript"/>
        </w:rPr>
        <w:t>1</w:t>
      </w:r>
      <w:r w:rsidRPr="0095697C">
        <w:rPr>
          <w:rFonts w:ascii="Times New Roman" w:hAnsi="Times New Roman"/>
        </w:rPr>
        <w:t xml:space="preserve">, după alineatul (10), se </w:t>
      </w:r>
      <w:r w:rsidRPr="0095697C">
        <w:rPr>
          <w:rFonts w:ascii="Times New Roman" w:hAnsi="Times New Roman" w:cs="Times New Roman"/>
        </w:rPr>
        <w:t>introduc</w:t>
      </w:r>
      <w:r w:rsidR="00684891" w:rsidRPr="0095697C">
        <w:rPr>
          <w:rFonts w:ascii="Times New Roman" w:hAnsi="Times New Roman" w:cs="Times New Roman"/>
        </w:rPr>
        <w:t xml:space="preserve"> două </w:t>
      </w:r>
      <w:r w:rsidRPr="0095697C">
        <w:rPr>
          <w:rFonts w:ascii="Times New Roman" w:hAnsi="Times New Roman" w:cs="Times New Roman"/>
        </w:rPr>
        <w:t>no</w:t>
      </w:r>
      <w:r w:rsidR="00684891" w:rsidRPr="0095697C">
        <w:rPr>
          <w:rFonts w:ascii="Times New Roman" w:hAnsi="Times New Roman" w:cs="Times New Roman"/>
        </w:rPr>
        <w:t>i</w:t>
      </w:r>
      <w:r w:rsidRPr="0095697C">
        <w:rPr>
          <w:rFonts w:ascii="Times New Roman" w:hAnsi="Times New Roman" w:cs="Times New Roman"/>
        </w:rPr>
        <w:t xml:space="preserve"> alinea</w:t>
      </w:r>
      <w:r w:rsidR="00684891" w:rsidRPr="0095697C">
        <w:rPr>
          <w:rFonts w:ascii="Times New Roman" w:hAnsi="Times New Roman" w:cs="Times New Roman"/>
        </w:rPr>
        <w:t>te</w:t>
      </w:r>
      <w:r w:rsidRPr="0095697C">
        <w:rPr>
          <w:rFonts w:ascii="Times New Roman" w:hAnsi="Times New Roman" w:cs="Times New Roman"/>
        </w:rPr>
        <w:t xml:space="preserve">, </w:t>
      </w:r>
      <w:r w:rsidR="00684891" w:rsidRPr="0095697C">
        <w:rPr>
          <w:rFonts w:ascii="Times New Roman" w:hAnsi="Times New Roman" w:cs="Times New Roman"/>
        </w:rPr>
        <w:t>alin.</w:t>
      </w:r>
      <w:r w:rsidRPr="0095697C">
        <w:rPr>
          <w:rFonts w:ascii="Times New Roman" w:hAnsi="Times New Roman"/>
        </w:rPr>
        <w:t xml:space="preserve"> (11</w:t>
      </w:r>
      <w:r w:rsidRPr="0095697C">
        <w:rPr>
          <w:rFonts w:ascii="Times New Roman" w:hAnsi="Times New Roman" w:cs="Times New Roman"/>
        </w:rPr>
        <w:t>)</w:t>
      </w:r>
      <w:r w:rsidR="00684891" w:rsidRPr="0095697C">
        <w:rPr>
          <w:rFonts w:ascii="Times New Roman" w:hAnsi="Times New Roman" w:cs="Times New Roman"/>
        </w:rPr>
        <w:t>-(12</w:t>
      </w:r>
      <w:r w:rsidR="00684891" w:rsidRPr="0095697C">
        <w:rPr>
          <w:rFonts w:ascii="Times New Roman" w:hAnsi="Times New Roman"/>
        </w:rPr>
        <w:t>)</w:t>
      </w:r>
      <w:r w:rsidRPr="0095697C">
        <w:rPr>
          <w:rFonts w:ascii="Times New Roman" w:hAnsi="Times New Roman"/>
        </w:rPr>
        <w:t>, cu următorul cuprins:</w:t>
      </w:r>
    </w:p>
    <w:p w14:paraId="12348F2E" w14:textId="77777777"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”(11) În cadrul asociațiilor de locatari care acționează în calitate de prosumatori care acţionează în mod colectiv pot participarea gospodăriile vulnerabile și chiriașii vulnerabili.</w:t>
      </w:r>
    </w:p>
    <w:p w14:paraId="05658173" w14:textId="20203438" w:rsidR="00402F4E" w:rsidRPr="0095697C" w:rsidRDefault="00402F4E" w:rsidP="002D4047">
      <w:pPr>
        <w:spacing w:beforeLines="50" w:afterLines="50" w:after="120"/>
        <w:ind w:left="0" w:firstLine="0"/>
        <w:rPr>
          <w:color w:val="000000" w:themeColor="text1"/>
        </w:rPr>
      </w:pPr>
      <w:r w:rsidRPr="0095697C">
        <w:rPr>
          <w:bCs/>
          <w:color w:val="000000" w:themeColor="text1"/>
        </w:rPr>
        <w:t>(</w:t>
      </w:r>
      <w:r w:rsidRPr="0095697C">
        <w:rPr>
          <w:color w:val="000000" w:themeColor="text1"/>
        </w:rPr>
        <w:t xml:space="preserve">12) Prevederile </w:t>
      </w:r>
      <w:r w:rsidR="00684891" w:rsidRPr="0095697C">
        <w:rPr>
          <w:bCs/>
          <w:color w:val="000000" w:themeColor="text1"/>
        </w:rPr>
        <w:t>prezentului articol</w:t>
      </w:r>
      <w:r w:rsidRPr="0095697C">
        <w:rPr>
          <w:color w:val="000000" w:themeColor="text1"/>
        </w:rPr>
        <w:t xml:space="preserve"> se aplică în mod proporțional și nediscrimatoriu prosumatorilor care </w:t>
      </w:r>
      <w:r w:rsidR="00193435" w:rsidRPr="0095697C">
        <w:rPr>
          <w:bCs/>
          <w:color w:val="000000" w:themeColor="text1"/>
        </w:rPr>
        <w:t>acționează</w:t>
      </w:r>
      <w:r w:rsidRPr="0095697C">
        <w:rPr>
          <w:color w:val="000000" w:themeColor="text1"/>
        </w:rPr>
        <w:t xml:space="preserve"> în mod colectiv, inclusiv blocuri de apartamente și asociațiile de locatari aferente.”</w:t>
      </w:r>
    </w:p>
    <w:p w14:paraId="2223D2ED" w14:textId="64029E60"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După articolul 80, se introduce un nou articol,</w:t>
      </w:r>
      <w:r w:rsidRPr="0095697C">
        <w:rPr>
          <w:rFonts w:ascii="Times New Roman" w:hAnsi="Times New Roman" w:cs="Times New Roman"/>
        </w:rPr>
        <w:t xml:space="preserve"> </w:t>
      </w:r>
      <w:r w:rsidR="00193435" w:rsidRPr="0095697C">
        <w:rPr>
          <w:rFonts w:ascii="Times New Roman" w:hAnsi="Times New Roman" w:cs="Times New Roman"/>
        </w:rPr>
        <w:t>art.</w:t>
      </w:r>
      <w:r w:rsidR="00193435" w:rsidRPr="0095697C">
        <w:rPr>
          <w:rFonts w:ascii="Times New Roman" w:hAnsi="Times New Roman"/>
        </w:rPr>
        <w:t xml:space="preserve"> </w:t>
      </w:r>
      <w:r w:rsidRPr="0095697C">
        <w:rPr>
          <w:rFonts w:ascii="Times New Roman" w:hAnsi="Times New Roman"/>
        </w:rPr>
        <w:t>80</w:t>
      </w:r>
      <w:r w:rsidRPr="0095697C">
        <w:rPr>
          <w:rFonts w:ascii="Times New Roman" w:hAnsi="Times New Roman"/>
          <w:vertAlign w:val="superscript"/>
        </w:rPr>
        <w:t>1</w:t>
      </w:r>
      <w:r w:rsidRPr="0095697C">
        <w:rPr>
          <w:rFonts w:ascii="Times New Roman" w:hAnsi="Times New Roman"/>
        </w:rPr>
        <w:t>, cu următorul cuprins:</w:t>
      </w:r>
    </w:p>
    <w:p w14:paraId="535F7FC6" w14:textId="77777777" w:rsidR="00402F4E" w:rsidRPr="0095697C" w:rsidRDefault="00402F4E" w:rsidP="002D4047">
      <w:pPr>
        <w:spacing w:beforeLines="50" w:afterLines="50" w:after="120"/>
        <w:ind w:left="0" w:firstLine="0"/>
        <w:rPr>
          <w:color w:val="000000" w:themeColor="text1"/>
        </w:rPr>
      </w:pPr>
      <w:r w:rsidRPr="0095697C">
        <w:rPr>
          <w:color w:val="000000" w:themeColor="text1"/>
        </w:rPr>
        <w:t>“Accesul la energie la prețuri accesibile în timpul unei crize a prețurilor la energie electrică</w:t>
      </w:r>
    </w:p>
    <w:p w14:paraId="11B5B92E" w14:textId="1F6D5FEA" w:rsidR="00402F4E" w:rsidRPr="00D54FE4" w:rsidRDefault="00402F4E" w:rsidP="002D4047">
      <w:pPr>
        <w:spacing w:beforeLines="50" w:afterLines="50" w:after="120"/>
        <w:ind w:left="0" w:firstLine="0"/>
        <w:rPr>
          <w:color w:val="000000" w:themeColor="text1"/>
        </w:rPr>
      </w:pPr>
      <w:bookmarkStart w:id="8" w:name="_Hlk219206935"/>
      <w:r w:rsidRPr="0095697C">
        <w:rPr>
          <w:color w:val="000000" w:themeColor="text1"/>
        </w:rPr>
        <w:t>Art. 80</w:t>
      </w:r>
      <w:r w:rsidRPr="0095697C">
        <w:rPr>
          <w:color w:val="000000" w:themeColor="text1"/>
          <w:vertAlign w:val="superscript"/>
        </w:rPr>
        <w:t>1</w:t>
      </w:r>
      <w:r w:rsidRPr="0095697C">
        <w:rPr>
          <w:color w:val="000000" w:themeColor="text1"/>
        </w:rPr>
        <w:t xml:space="preserve">. (1) În cazul în care Consiliul Uniunii Europene a adoptat o decizie de punere în aplicare privind o criză a prețurilor energiei electrice la nivel regional sau la nivelul Uniunii, Guvernul României poate </w:t>
      </w:r>
      <w:r w:rsidR="00D54FE4">
        <w:rPr>
          <w:color w:val="000000" w:themeColor="text1"/>
        </w:rPr>
        <w:t>adopta</w:t>
      </w:r>
      <w:r w:rsidRPr="0095697C">
        <w:rPr>
          <w:color w:val="000000" w:themeColor="text1"/>
        </w:rPr>
        <w:t xml:space="preserve">, pe durata valabilității deciziei respective, </w:t>
      </w:r>
      <w:r w:rsidR="00D54FE4">
        <w:rPr>
          <w:color w:val="000000" w:themeColor="text1"/>
        </w:rPr>
        <w:t>hotărâri</w:t>
      </w:r>
      <w:r w:rsidRPr="0095697C">
        <w:rPr>
          <w:color w:val="000000" w:themeColor="text1"/>
        </w:rPr>
        <w:t xml:space="preserve"> </w:t>
      </w:r>
      <w:r w:rsidR="00D54FE4">
        <w:rPr>
          <w:color w:val="000000" w:themeColor="text1"/>
        </w:rPr>
        <w:t xml:space="preserve">prin care instituie măsuri </w:t>
      </w:r>
      <w:r w:rsidRPr="0095697C">
        <w:rPr>
          <w:color w:val="000000" w:themeColor="text1"/>
        </w:rPr>
        <w:t>specifice</w:t>
      </w:r>
      <w:r w:rsidR="00D54FE4">
        <w:rPr>
          <w:color w:val="000000" w:themeColor="text1"/>
        </w:rPr>
        <w:t xml:space="preserve"> cu caracter</w:t>
      </w:r>
      <w:r w:rsidRPr="0095697C">
        <w:rPr>
          <w:color w:val="000000" w:themeColor="text1"/>
        </w:rPr>
        <w:t xml:space="preserve"> temporare în ceea ce privește stabilirea prețurilor de furnizare a energiei electrice către întreprinderile mici și mijlocii. Astfel de intervenții publice:</w:t>
      </w:r>
    </w:p>
    <w:bookmarkEnd w:id="8"/>
    <w:p w14:paraId="038DE2EB" w14:textId="31F1A956" w:rsidR="00402F4E" w:rsidRPr="0095697C" w:rsidRDefault="00402F4E" w:rsidP="002D4047">
      <w:pPr>
        <w:spacing w:beforeLines="50" w:afterLines="50" w:after="120"/>
        <w:ind w:left="0" w:firstLine="0"/>
        <w:rPr>
          <w:color w:val="000000" w:themeColor="text1"/>
        </w:rPr>
      </w:pPr>
      <w:r w:rsidRPr="0095697C">
        <w:rPr>
          <w:color w:val="000000" w:themeColor="text1"/>
        </w:rPr>
        <w:t>a) sunt limitate la cel mult 70 % din consumul beneficiarului în aceeași perioadă a anului precedent și mențin un stimulent de reducere a cererii;</w:t>
      </w:r>
    </w:p>
    <w:p w14:paraId="7547169A" w14:textId="3274C76A" w:rsidR="00402F4E" w:rsidRPr="0095697C" w:rsidRDefault="00402F4E" w:rsidP="002D4047">
      <w:pPr>
        <w:spacing w:beforeLines="50" w:afterLines="50" w:after="120"/>
        <w:ind w:left="0" w:firstLine="0"/>
        <w:rPr>
          <w:color w:val="000000" w:themeColor="text1"/>
        </w:rPr>
      </w:pPr>
      <w:r w:rsidRPr="0095697C">
        <w:rPr>
          <w:color w:val="000000" w:themeColor="text1"/>
        </w:rPr>
        <w:t>b) respectă condițiile prevăzute la art</w:t>
      </w:r>
      <w:r w:rsidR="00193435" w:rsidRPr="0095697C">
        <w:rPr>
          <w:bCs/>
          <w:color w:val="000000" w:themeColor="text1"/>
        </w:rPr>
        <w:t>.</w:t>
      </w:r>
      <w:r w:rsidRPr="0095697C">
        <w:rPr>
          <w:color w:val="000000" w:themeColor="text1"/>
        </w:rPr>
        <w:t xml:space="preserve"> 80 alin </w:t>
      </w:r>
      <w:r w:rsidR="003358E1" w:rsidRPr="0095697C">
        <w:rPr>
          <w:color w:val="000000" w:themeColor="text1"/>
        </w:rPr>
        <w:t>(</w:t>
      </w:r>
      <w:r w:rsidRPr="0095697C">
        <w:rPr>
          <w:color w:val="000000" w:themeColor="text1"/>
        </w:rPr>
        <w:t>4</w:t>
      </w:r>
      <w:r w:rsidR="003358E1" w:rsidRPr="0095697C">
        <w:rPr>
          <w:color w:val="000000" w:themeColor="text1"/>
        </w:rPr>
        <w:t>)</w:t>
      </w:r>
      <w:r w:rsidRPr="0095697C">
        <w:rPr>
          <w:color w:val="000000" w:themeColor="text1"/>
        </w:rPr>
        <w:t xml:space="preserve">  și:</w:t>
      </w:r>
    </w:p>
    <w:p w14:paraId="433B0BDB" w14:textId="619D08AE" w:rsidR="00402F4E" w:rsidRPr="0095697C" w:rsidRDefault="00402F4E" w:rsidP="002D4047">
      <w:pPr>
        <w:spacing w:beforeLines="50" w:afterLines="50" w:after="120"/>
        <w:ind w:left="0" w:firstLine="0"/>
        <w:rPr>
          <w:color w:val="000000" w:themeColor="text1"/>
        </w:rPr>
      </w:pPr>
      <w:r w:rsidRPr="0095697C">
        <w:rPr>
          <w:bCs/>
          <w:color w:val="000000" w:themeColor="text1"/>
        </w:rPr>
        <w:t>i.</w:t>
      </w:r>
      <w:r w:rsidR="00193435" w:rsidRPr="0095697C">
        <w:rPr>
          <w:bCs/>
          <w:color w:val="000000" w:themeColor="text1"/>
        </w:rPr>
        <w:t xml:space="preserve"> </w:t>
      </w:r>
      <w:r w:rsidRPr="0095697C">
        <w:rPr>
          <w:color w:val="000000" w:themeColor="text1"/>
        </w:rPr>
        <w:t xml:space="preserve">sunt însoțite de un set de măsuri pentru a asigura o concurență efectivă și de o metodologie de evaluare a progreselor înregistrate în privința măsurilor respective; </w:t>
      </w:r>
    </w:p>
    <w:p w14:paraId="4B42986A" w14:textId="4F9ECB54" w:rsidR="00402F4E" w:rsidRPr="0095697C" w:rsidRDefault="00402F4E" w:rsidP="002D4047">
      <w:pPr>
        <w:spacing w:beforeLines="50" w:afterLines="50" w:after="120"/>
        <w:ind w:left="0" w:firstLine="0"/>
        <w:rPr>
          <w:color w:val="000000" w:themeColor="text1"/>
        </w:rPr>
      </w:pPr>
      <w:r w:rsidRPr="0095697C">
        <w:rPr>
          <w:bCs/>
          <w:color w:val="000000" w:themeColor="text1"/>
        </w:rPr>
        <w:t>ii.</w:t>
      </w:r>
      <w:r w:rsidR="00193435" w:rsidRPr="0095697C">
        <w:rPr>
          <w:bCs/>
          <w:color w:val="000000" w:themeColor="text1"/>
        </w:rPr>
        <w:t xml:space="preserve"> </w:t>
      </w:r>
      <w:r w:rsidRPr="0095697C">
        <w:rPr>
          <w:color w:val="000000" w:themeColor="text1"/>
        </w:rPr>
        <w:t xml:space="preserve">sunt stabilite în baza unei metodologii care asigură un tratament nediscriminatoriu al furnizorilor; </w:t>
      </w:r>
    </w:p>
    <w:p w14:paraId="54DDFBC4" w14:textId="6D1D37E5" w:rsidR="00402F4E" w:rsidRPr="0095697C" w:rsidRDefault="00402F4E" w:rsidP="002D4047">
      <w:pPr>
        <w:spacing w:beforeLines="50" w:afterLines="50" w:after="120"/>
        <w:ind w:left="0" w:firstLine="0"/>
        <w:rPr>
          <w:color w:val="000000" w:themeColor="text1"/>
        </w:rPr>
      </w:pPr>
      <w:r w:rsidRPr="0095697C">
        <w:rPr>
          <w:bCs/>
          <w:color w:val="000000" w:themeColor="text1"/>
        </w:rPr>
        <w:lastRenderedPageBreak/>
        <w:t>iii.</w:t>
      </w:r>
      <w:r w:rsidR="00193435" w:rsidRPr="0095697C">
        <w:rPr>
          <w:bCs/>
          <w:color w:val="000000" w:themeColor="text1"/>
        </w:rPr>
        <w:t xml:space="preserve"> </w:t>
      </w:r>
      <w:r w:rsidRPr="0095697C">
        <w:rPr>
          <w:color w:val="000000" w:themeColor="text1"/>
        </w:rPr>
        <w:t xml:space="preserve">sunt stabilite la un preț care depășește costul, la un nivel la care poate exista o concurență efectivă în ceea ce privește prețurile; </w:t>
      </w:r>
    </w:p>
    <w:p w14:paraId="63105F33" w14:textId="4DBA6BDE" w:rsidR="00402F4E" w:rsidRPr="0095697C" w:rsidRDefault="00402F4E" w:rsidP="002D4047">
      <w:pPr>
        <w:spacing w:beforeLines="50" w:afterLines="50" w:after="120"/>
        <w:ind w:left="0" w:firstLine="0"/>
        <w:rPr>
          <w:color w:val="000000" w:themeColor="text1"/>
        </w:rPr>
      </w:pPr>
      <w:r w:rsidRPr="0095697C">
        <w:rPr>
          <w:bCs/>
          <w:color w:val="000000" w:themeColor="text1"/>
        </w:rPr>
        <w:t>iv.</w:t>
      </w:r>
      <w:r w:rsidR="00193435" w:rsidRPr="0095697C">
        <w:rPr>
          <w:bCs/>
          <w:color w:val="000000" w:themeColor="text1"/>
        </w:rPr>
        <w:t xml:space="preserve"> </w:t>
      </w:r>
      <w:r w:rsidRPr="0095697C">
        <w:rPr>
          <w:color w:val="000000" w:themeColor="text1"/>
        </w:rPr>
        <w:t xml:space="preserve">sunt concepute astfel încât să reducă la minimum orice impact negativ asupra pieței angro de energie electrică; </w:t>
      </w:r>
    </w:p>
    <w:p w14:paraId="06210EEF" w14:textId="4F69C4D3" w:rsidR="00402F4E" w:rsidRPr="0095697C" w:rsidRDefault="00402F4E" w:rsidP="002D4047">
      <w:pPr>
        <w:spacing w:beforeLines="50" w:afterLines="50" w:after="120"/>
        <w:ind w:left="0" w:firstLine="0"/>
        <w:rPr>
          <w:color w:val="000000" w:themeColor="text1"/>
        </w:rPr>
      </w:pPr>
      <w:r w:rsidRPr="0095697C">
        <w:rPr>
          <w:bCs/>
          <w:color w:val="000000" w:themeColor="text1"/>
        </w:rPr>
        <w:t>v.</w:t>
      </w:r>
      <w:r w:rsidR="00193435" w:rsidRPr="0095697C">
        <w:rPr>
          <w:bCs/>
          <w:color w:val="000000" w:themeColor="text1"/>
        </w:rPr>
        <w:t xml:space="preserve"> </w:t>
      </w:r>
      <w:r w:rsidRPr="0095697C">
        <w:rPr>
          <w:color w:val="000000" w:themeColor="text1"/>
        </w:rPr>
        <w:t xml:space="preserve">se asigură că toți beneficiarii unor astfel de intervenții publice au posibilitatea de a alege oferte competitive de pe piață și sunt direct informați, cel puțin în fiecare trimestru, cu privire la disponibilitatea ofertelor și a economiilor pe piața competitivă, în special cu privire la contractele de furnizare a energiei electrice cu prețuri dinamice, și se asigură că acestora li se acordă asistență pentru a migra la o ofertă bazată pe piață; </w:t>
      </w:r>
    </w:p>
    <w:p w14:paraId="3D468D6A" w14:textId="213A1ABE" w:rsidR="00402F4E" w:rsidRPr="0095697C" w:rsidRDefault="00402F4E" w:rsidP="002D4047">
      <w:pPr>
        <w:spacing w:beforeLines="50" w:afterLines="50" w:after="120"/>
        <w:ind w:left="0" w:firstLine="0"/>
        <w:rPr>
          <w:color w:val="000000" w:themeColor="text1"/>
        </w:rPr>
      </w:pPr>
      <w:r w:rsidRPr="0095697C">
        <w:rPr>
          <w:bCs/>
          <w:color w:val="000000" w:themeColor="text1"/>
        </w:rPr>
        <w:t>vi.</w:t>
      </w:r>
      <w:r w:rsidR="00193435" w:rsidRPr="0095697C">
        <w:rPr>
          <w:bCs/>
          <w:color w:val="000000" w:themeColor="text1"/>
        </w:rPr>
        <w:t xml:space="preserve"> </w:t>
      </w:r>
      <w:r w:rsidRPr="0095697C">
        <w:rPr>
          <w:color w:val="000000" w:themeColor="text1"/>
        </w:rPr>
        <w:t>se asigură că, în temeiul articolelor 19 și 21 din Directiva 944/2019 privind normele comune pentru piața internă de energie electrică</w:t>
      </w:r>
      <w:r w:rsidRPr="0095697C">
        <w:rPr>
          <w:bCs/>
          <w:color w:val="000000" w:themeColor="text1"/>
        </w:rPr>
        <w:t xml:space="preserve"> </w:t>
      </w:r>
      <w:r w:rsidRPr="0095697C">
        <w:rPr>
          <w:color w:val="000000" w:themeColor="text1"/>
        </w:rPr>
        <w:t xml:space="preserve">, toți beneficiarii unei astfel de intervenții publice au dreptul de a avea contoare inteligente și li se oferă astfel de contoare, care sunt instalate fără costuri inițiale suplimentare pentru client, sunt direct informați de posibilitatea instalării de contoare inteligente și li se acordă asistența necesară; </w:t>
      </w:r>
    </w:p>
    <w:p w14:paraId="56ABE3E3" w14:textId="4302A265" w:rsidR="00402F4E" w:rsidRPr="0095697C" w:rsidRDefault="00402F4E" w:rsidP="002D4047">
      <w:pPr>
        <w:spacing w:beforeLines="50" w:afterLines="50" w:after="120"/>
        <w:ind w:left="0" w:firstLine="0"/>
        <w:rPr>
          <w:color w:val="000000" w:themeColor="text1"/>
        </w:rPr>
      </w:pPr>
      <w:r w:rsidRPr="0095697C">
        <w:rPr>
          <w:bCs/>
          <w:color w:val="000000" w:themeColor="text1"/>
        </w:rPr>
        <w:t>vii.</w:t>
      </w:r>
      <w:r w:rsidR="00193435" w:rsidRPr="0095697C">
        <w:rPr>
          <w:bCs/>
          <w:color w:val="000000" w:themeColor="text1"/>
        </w:rPr>
        <w:t xml:space="preserve"> </w:t>
      </w:r>
      <w:r w:rsidRPr="0095697C">
        <w:rPr>
          <w:color w:val="000000" w:themeColor="text1"/>
        </w:rPr>
        <w:t>nu conduc la o subvenționare încrucișată directă între clienții alimentați la prețurile de pe piața liberă și cei alimentați la prețurile de furnizare reglementate.</w:t>
      </w:r>
    </w:p>
    <w:p w14:paraId="1B526724" w14:textId="4D20A385" w:rsidR="00402F4E" w:rsidRPr="0095697C" w:rsidRDefault="00402F4E" w:rsidP="002D4047">
      <w:pPr>
        <w:spacing w:beforeLines="50" w:afterLines="50" w:after="120"/>
        <w:ind w:left="0" w:firstLine="0"/>
        <w:rPr>
          <w:color w:val="000000" w:themeColor="text1"/>
        </w:rPr>
      </w:pPr>
      <w:r w:rsidRPr="0095697C">
        <w:rPr>
          <w:color w:val="000000" w:themeColor="text1"/>
        </w:rPr>
        <w:t>c) dacă este cazul, respectă condițiile prevăzute la alineatul (2);</w:t>
      </w:r>
    </w:p>
    <w:p w14:paraId="434B843A" w14:textId="782DFD81" w:rsidR="00402F4E" w:rsidRPr="0095697C" w:rsidRDefault="00402F4E" w:rsidP="002D4047">
      <w:pPr>
        <w:spacing w:beforeLines="50" w:afterLines="50" w:after="120"/>
        <w:ind w:left="0" w:firstLine="0"/>
        <w:rPr>
          <w:color w:val="000000" w:themeColor="text1"/>
        </w:rPr>
      </w:pPr>
      <w:r w:rsidRPr="0095697C">
        <w:rPr>
          <w:color w:val="000000" w:themeColor="text1"/>
        </w:rPr>
        <w:t>d) sunt concepute astfel încât să reducă la minimum orice fragmentare negativă a pieței interne</w:t>
      </w:r>
    </w:p>
    <w:p w14:paraId="431C8F18" w14:textId="30AE2A5B"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(2) În cazul în care Consiliul a adoptat o decizie de punere în aplicare privind o criză a prețurilor energiei electrice la nivel regional sau la nivelul Uniunii Europene, </w:t>
      </w:r>
      <w:r w:rsidR="006F26F4" w:rsidRPr="0095697C">
        <w:rPr>
          <w:color w:val="000000" w:themeColor="text1"/>
        </w:rPr>
        <w:t xml:space="preserve">Guvernul României poate </w:t>
      </w:r>
      <w:r w:rsidR="006F26F4">
        <w:rPr>
          <w:color w:val="000000" w:themeColor="text1"/>
        </w:rPr>
        <w:t>adopta</w:t>
      </w:r>
      <w:r w:rsidR="006F26F4" w:rsidRPr="0095697C">
        <w:rPr>
          <w:color w:val="000000" w:themeColor="text1"/>
        </w:rPr>
        <w:t xml:space="preserve">, pe durata valabilității deciziei respective, </w:t>
      </w:r>
      <w:r w:rsidR="006F26F4">
        <w:rPr>
          <w:color w:val="000000" w:themeColor="text1"/>
        </w:rPr>
        <w:t>hotărâri</w:t>
      </w:r>
      <w:r w:rsidR="006F26F4" w:rsidRPr="0095697C">
        <w:rPr>
          <w:color w:val="000000" w:themeColor="text1"/>
        </w:rPr>
        <w:t xml:space="preserve"> </w:t>
      </w:r>
      <w:r w:rsidR="006F26F4">
        <w:rPr>
          <w:color w:val="000000" w:themeColor="text1"/>
        </w:rPr>
        <w:t>prin care instituie măsuri</w:t>
      </w:r>
      <w:r w:rsidRPr="0095697C">
        <w:rPr>
          <w:color w:val="000000" w:themeColor="text1"/>
        </w:rPr>
        <w:t xml:space="preserve"> specifice  în ceea ce privește stabilirea prețurilor de furnizare a energiei electrice pentru clienții casnici, mocroîntreprinderi și întreprinderi mici și mijlocii cu respectarea condițiilor prevăzute la alin</w:t>
      </w:r>
      <w:r w:rsidR="006F26F4">
        <w:rPr>
          <w:color w:val="000000" w:themeColor="text1"/>
        </w:rPr>
        <w:t xml:space="preserve"> (</w:t>
      </w:r>
      <w:r w:rsidRPr="0095697C">
        <w:rPr>
          <w:color w:val="000000" w:themeColor="text1"/>
        </w:rPr>
        <w:t>1</w:t>
      </w:r>
      <w:r w:rsidR="006F26F4">
        <w:rPr>
          <w:color w:val="000000" w:themeColor="text1"/>
        </w:rPr>
        <w:t>)</w:t>
      </w:r>
      <w:r w:rsidRPr="0095697C">
        <w:rPr>
          <w:color w:val="000000" w:themeColor="text1"/>
        </w:rPr>
        <w:t xml:space="preserve">, respectiv, poate  să stabilească în mod </w:t>
      </w:r>
      <w:r w:rsidR="0052414F" w:rsidRPr="0095697C">
        <w:rPr>
          <w:bCs/>
          <w:color w:val="000000" w:themeColor="text1"/>
        </w:rPr>
        <w:t>excepțional</w:t>
      </w:r>
      <w:r w:rsidRPr="0095697C">
        <w:rPr>
          <w:color w:val="000000" w:themeColor="text1"/>
        </w:rPr>
        <w:t xml:space="preserve"> prețuri de furnizare a energiei electrice sub nivelul costurilor, dacă sunt îndeplinite următoarele condiții:</w:t>
      </w:r>
    </w:p>
    <w:p w14:paraId="39AA6662" w14:textId="30B0584F" w:rsidR="00402F4E" w:rsidRPr="0095697C" w:rsidRDefault="00402F4E" w:rsidP="002D4047">
      <w:pPr>
        <w:spacing w:beforeLines="50" w:afterLines="50" w:after="120"/>
        <w:ind w:left="0" w:firstLine="0"/>
        <w:rPr>
          <w:color w:val="000000" w:themeColor="text1"/>
        </w:rPr>
      </w:pPr>
      <w:r w:rsidRPr="0095697C">
        <w:rPr>
          <w:color w:val="000000" w:themeColor="text1"/>
        </w:rPr>
        <w:t>a)</w:t>
      </w:r>
      <w:r w:rsidR="00684891" w:rsidRPr="0095697C">
        <w:rPr>
          <w:bCs/>
          <w:color w:val="000000" w:themeColor="text1"/>
        </w:rPr>
        <w:t xml:space="preserve"> </w:t>
      </w:r>
      <w:r w:rsidRPr="0095697C">
        <w:rPr>
          <w:color w:val="000000" w:themeColor="text1"/>
        </w:rPr>
        <w:t>prețul stabilit pentru clienții casnici se aplică numai pentru cel mult 80 % din consumul mediu al gospodăriilor și menține un stimulent pentru reducerea cererii</w:t>
      </w:r>
    </w:p>
    <w:p w14:paraId="59268F32" w14:textId="78389DF8" w:rsidR="00402F4E" w:rsidRPr="0095697C" w:rsidRDefault="00402F4E" w:rsidP="002D4047">
      <w:pPr>
        <w:spacing w:beforeLines="50" w:afterLines="50" w:after="120"/>
        <w:ind w:left="0" w:firstLine="0"/>
        <w:rPr>
          <w:color w:val="000000" w:themeColor="text1"/>
        </w:rPr>
      </w:pPr>
      <w:r w:rsidRPr="0095697C">
        <w:rPr>
          <w:color w:val="000000" w:themeColor="text1"/>
        </w:rPr>
        <w:t>b) nu există nicio discriminare între furnizori;</w:t>
      </w:r>
    </w:p>
    <w:p w14:paraId="375069F3" w14:textId="2F113A0A" w:rsidR="00402F4E" w:rsidRPr="0095697C" w:rsidRDefault="00402F4E" w:rsidP="002D4047">
      <w:pPr>
        <w:spacing w:beforeLines="50" w:afterLines="50" w:after="120"/>
        <w:ind w:left="0" w:firstLine="0"/>
        <w:rPr>
          <w:color w:val="000000" w:themeColor="text1"/>
        </w:rPr>
      </w:pPr>
      <w:r w:rsidRPr="0095697C">
        <w:rPr>
          <w:color w:val="000000" w:themeColor="text1"/>
        </w:rPr>
        <w:t>c)</w:t>
      </w:r>
      <w:r w:rsidR="00684891" w:rsidRPr="0095697C">
        <w:rPr>
          <w:bCs/>
          <w:color w:val="000000" w:themeColor="text1"/>
        </w:rPr>
        <w:t xml:space="preserve"> </w:t>
      </w:r>
      <w:r w:rsidRPr="0095697C">
        <w:rPr>
          <w:color w:val="000000" w:themeColor="text1"/>
        </w:rPr>
        <w:t>furnizorii sunt compensați pentru furnizarea sub nivelul costurilor într-un mod transparent și nediscriminatoriu;</w:t>
      </w:r>
    </w:p>
    <w:p w14:paraId="22FD61A0" w14:textId="42EC70B8" w:rsidR="00402F4E" w:rsidRPr="0095697C" w:rsidRDefault="00402F4E" w:rsidP="002D4047">
      <w:pPr>
        <w:spacing w:beforeLines="50" w:afterLines="50" w:after="120"/>
        <w:ind w:left="0" w:firstLine="0"/>
        <w:rPr>
          <w:color w:val="000000" w:themeColor="text1"/>
        </w:rPr>
      </w:pPr>
      <w:r w:rsidRPr="0095697C">
        <w:rPr>
          <w:color w:val="000000" w:themeColor="text1"/>
        </w:rPr>
        <w:t>d)</w:t>
      </w:r>
      <w:r w:rsidR="00684891" w:rsidRPr="0095697C">
        <w:rPr>
          <w:bCs/>
          <w:color w:val="000000" w:themeColor="text1"/>
        </w:rPr>
        <w:t xml:space="preserve"> </w:t>
      </w:r>
      <w:r w:rsidRPr="0095697C">
        <w:rPr>
          <w:color w:val="000000" w:themeColor="text1"/>
        </w:rPr>
        <w:t>toți furnizorii sunt eligibili să prezinte oferte pentru prețul de furnizare a energiei electrice care este sub nivelul costurilor, pe aceeași bază;</w:t>
      </w:r>
    </w:p>
    <w:p w14:paraId="6D970280" w14:textId="2055383A" w:rsidR="00402F4E" w:rsidRPr="0095697C" w:rsidRDefault="00402F4E" w:rsidP="002D4047">
      <w:pPr>
        <w:spacing w:beforeLines="50" w:afterLines="50" w:after="120"/>
        <w:ind w:left="0" w:firstLine="0"/>
        <w:rPr>
          <w:color w:val="000000" w:themeColor="text1"/>
        </w:rPr>
      </w:pPr>
      <w:r w:rsidRPr="0095697C">
        <w:rPr>
          <w:color w:val="000000" w:themeColor="text1"/>
        </w:rPr>
        <w:t>e)</w:t>
      </w:r>
      <w:r w:rsidR="00684891" w:rsidRPr="0095697C">
        <w:rPr>
          <w:bCs/>
          <w:color w:val="000000" w:themeColor="text1"/>
        </w:rPr>
        <w:t xml:space="preserve"> </w:t>
      </w:r>
      <w:r w:rsidRPr="0095697C">
        <w:rPr>
          <w:color w:val="000000" w:themeColor="text1"/>
        </w:rPr>
        <w:t>măsurile propuse nu denaturează piața internă a energiei electrice</w:t>
      </w:r>
      <w:r w:rsidRPr="0095697C">
        <w:rPr>
          <w:bCs/>
          <w:color w:val="000000" w:themeColor="text1"/>
        </w:rPr>
        <w:t>.</w:t>
      </w:r>
      <w:r w:rsidR="00EB5800" w:rsidRPr="0095697C">
        <w:rPr>
          <w:bCs/>
          <w:color w:val="000000" w:themeColor="text1"/>
        </w:rPr>
        <w:t>”</w:t>
      </w:r>
    </w:p>
    <w:p w14:paraId="5547DE5C" w14:textId="59E7D2F8" w:rsidR="00402F4E" w:rsidRPr="0095697C" w:rsidRDefault="00402F4E" w:rsidP="002D4047">
      <w:pPr>
        <w:pStyle w:val="Heading1"/>
        <w:spacing w:beforeLines="50" w:before="120" w:afterLines="50" w:after="120"/>
        <w:ind w:left="450" w:hanging="450"/>
        <w:contextualSpacing w:val="0"/>
      </w:pPr>
      <w:r w:rsidRPr="0095697C">
        <w:rPr>
          <w:rFonts w:ascii="Times New Roman" w:hAnsi="Times New Roman"/>
        </w:rPr>
        <w:t>La articolul 93 alineatul (1), punctele 39 și 39</w:t>
      </w:r>
      <w:r w:rsidRPr="0095697C">
        <w:rPr>
          <w:rFonts w:ascii="Times New Roman" w:hAnsi="Times New Roman"/>
          <w:vertAlign w:val="superscript"/>
        </w:rPr>
        <w:t>1</w:t>
      </w:r>
      <w:r w:rsidRPr="0095697C">
        <w:rPr>
          <w:rFonts w:ascii="Times New Roman" w:hAnsi="Times New Roman"/>
        </w:rPr>
        <w:t xml:space="preserve"> vor avea următorul cuprins:</w:t>
      </w:r>
    </w:p>
    <w:p w14:paraId="54E026B8" w14:textId="025C9B7B" w:rsidR="006D57C9" w:rsidRPr="008C2E30" w:rsidRDefault="006D57C9" w:rsidP="001A1466">
      <w:pPr>
        <w:ind w:left="0" w:firstLine="0"/>
      </w:pPr>
      <w:r w:rsidRPr="0095697C">
        <w:lastRenderedPageBreak/>
        <w:t>”39. nerespectarea de către furnizori sau operatori de distribuție, după caz, a obligațiilor prevăzute la art. 57 și art. 58 alin (1), (1</w:t>
      </w:r>
      <w:r w:rsidRPr="0095697C">
        <w:rPr>
          <w:vertAlign w:val="superscript"/>
        </w:rPr>
        <w:t>1</w:t>
      </w:r>
      <w:r w:rsidRPr="0095697C">
        <w:t>), (1</w:t>
      </w:r>
      <w:r w:rsidRPr="0095697C">
        <w:rPr>
          <w:vertAlign w:val="superscript"/>
        </w:rPr>
        <w:t>2</w:t>
      </w:r>
      <w:r w:rsidRPr="0095697C">
        <w:t>), (1</w:t>
      </w:r>
      <w:r w:rsidRPr="0095697C">
        <w:rPr>
          <w:vertAlign w:val="superscript"/>
        </w:rPr>
        <w:t>3</w:t>
      </w:r>
      <w:r w:rsidRPr="0095697C">
        <w:t>) și (2)</w:t>
      </w:r>
      <w:r w:rsidRPr="008C2E30">
        <w:t>;</w:t>
      </w:r>
    </w:p>
    <w:p w14:paraId="6FC1ECEE" w14:textId="4C17A47D" w:rsidR="00402F4E" w:rsidRPr="008C2E30" w:rsidRDefault="006D57C9" w:rsidP="00A97BDD">
      <w:pPr>
        <w:ind w:left="0" w:firstLine="0"/>
      </w:pPr>
      <w:r w:rsidRPr="008C2E30">
        <w:t>39</w:t>
      </w:r>
      <w:r w:rsidRPr="008C2E30">
        <w:rPr>
          <w:vertAlign w:val="superscript"/>
        </w:rPr>
        <w:t>1</w:t>
      </w:r>
      <w:r w:rsidRPr="008C2E30">
        <w:t>. Nerespectarea de către operatorii de distribuție, după caz, a obligațiilor prevăzute la art. 44 alin (10)–(18) și art. 45 alin (10)</w:t>
      </w:r>
      <w:r w:rsidR="0029217B" w:rsidRPr="008C2E30">
        <w:t>.</w:t>
      </w:r>
      <w:r w:rsidRPr="008C2E30">
        <w:t xml:space="preserve">” </w:t>
      </w:r>
    </w:p>
    <w:p w14:paraId="7DAB59EC" w14:textId="43EE13F2" w:rsidR="00402F4E" w:rsidRPr="0095697C" w:rsidRDefault="00587E78" w:rsidP="002D4047">
      <w:pPr>
        <w:spacing w:beforeLines="50" w:afterLines="50" w:after="120"/>
        <w:ind w:left="0" w:firstLine="0"/>
        <w:rPr>
          <w:b/>
          <w:color w:val="000000" w:themeColor="text1"/>
        </w:rPr>
      </w:pPr>
      <w:r w:rsidRPr="0095697C">
        <w:rPr>
          <w:b/>
          <w:color w:val="000000" w:themeColor="text1"/>
        </w:rPr>
        <w:t>Art. II</w:t>
      </w:r>
    </w:p>
    <w:p w14:paraId="31A5AF7E" w14:textId="06B2CDDD"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(1) În termen de </w:t>
      </w:r>
      <w:r w:rsidR="006F26F4">
        <w:rPr>
          <w:color w:val="000000" w:themeColor="text1"/>
        </w:rPr>
        <w:t>180 de zile</w:t>
      </w:r>
      <w:r w:rsidRPr="0095697C">
        <w:rPr>
          <w:color w:val="000000" w:themeColor="text1"/>
        </w:rPr>
        <w:t xml:space="preserve"> de la data intrării în vigoare a prezentei ordonanțe de urgență, ANRE  adaptează cadrul de reglementare în concordanță cu prevederile acesteia.</w:t>
      </w:r>
    </w:p>
    <w:p w14:paraId="627207F3" w14:textId="42C48A5A" w:rsidR="00856371" w:rsidRPr="0095697C" w:rsidRDefault="00856371" w:rsidP="00856371">
      <w:pPr>
        <w:spacing w:beforeLines="50" w:afterLines="50" w:after="120"/>
        <w:ind w:left="0" w:firstLine="0"/>
        <w:rPr>
          <w:bCs/>
          <w:color w:val="000000" w:themeColor="text1"/>
        </w:rPr>
      </w:pPr>
      <w:r w:rsidRPr="0095697C">
        <w:rPr>
          <w:color w:val="000000" w:themeColor="text1"/>
        </w:rPr>
        <w:t>(</w:t>
      </w:r>
      <w:r w:rsidR="006F26F4">
        <w:rPr>
          <w:color w:val="000000" w:themeColor="text1"/>
        </w:rPr>
        <w:t>2</w:t>
      </w:r>
      <w:r w:rsidRPr="0095697C">
        <w:rPr>
          <w:color w:val="000000" w:themeColor="text1"/>
        </w:rPr>
        <w:t xml:space="preserve">) </w:t>
      </w:r>
      <w:r w:rsidRPr="0095697C">
        <w:rPr>
          <w:bCs/>
          <w:color w:val="000000" w:themeColor="text1"/>
        </w:rPr>
        <w:t>ANRE comunică ministerului de resort măsurile adoptate pentru implementarea dispozițiilor din prezenta ordonanță de urgență</w:t>
      </w:r>
      <w:r w:rsidR="006F26F4">
        <w:rPr>
          <w:bCs/>
          <w:color w:val="000000" w:themeColor="text1"/>
        </w:rPr>
        <w:t>.</w:t>
      </w:r>
    </w:p>
    <w:p w14:paraId="54953ADA" w14:textId="4A09B2E9" w:rsidR="00402F4E" w:rsidRPr="0095697C" w:rsidRDefault="00402F4E" w:rsidP="002D4047">
      <w:pPr>
        <w:spacing w:beforeLines="50" w:afterLines="50" w:after="120"/>
        <w:ind w:left="0" w:firstLine="0"/>
        <w:rPr>
          <w:color w:val="000000" w:themeColor="text1"/>
        </w:rPr>
      </w:pPr>
      <w:bookmarkStart w:id="9" w:name="_Hlk219199212"/>
      <w:r w:rsidRPr="0095697C">
        <w:rPr>
          <w:bCs/>
          <w:color w:val="000000" w:themeColor="text1"/>
        </w:rPr>
        <w:t>(</w:t>
      </w:r>
      <w:r w:rsidR="006F26F4">
        <w:rPr>
          <w:bCs/>
          <w:color w:val="000000" w:themeColor="text1"/>
        </w:rPr>
        <w:t>3</w:t>
      </w:r>
      <w:r w:rsidRPr="0095697C">
        <w:rPr>
          <w:bCs/>
          <w:color w:val="000000" w:themeColor="text1"/>
        </w:rPr>
        <w:t xml:space="preserve">) </w:t>
      </w:r>
      <w:r w:rsidRPr="0095697C">
        <w:rPr>
          <w:color w:val="000000" w:themeColor="text1"/>
        </w:rPr>
        <w:t xml:space="preserve">Până la adaptarea </w:t>
      </w:r>
      <w:r w:rsidR="0060318D">
        <w:rPr>
          <w:color w:val="000000" w:themeColor="text1"/>
        </w:rPr>
        <w:t>reglementărilor emise în temeiul alin. (1)</w:t>
      </w:r>
      <w:r w:rsidRPr="0095697C">
        <w:rPr>
          <w:color w:val="000000" w:themeColor="text1"/>
        </w:rPr>
        <w:t>, reglementările emise în temeiul Legii energiei electrice și a gazelor naturale</w:t>
      </w:r>
      <w:r w:rsidR="00712F0C">
        <w:rPr>
          <w:color w:val="000000" w:themeColor="text1"/>
        </w:rPr>
        <w:t xml:space="preserve"> nr. 123/2012</w:t>
      </w:r>
      <w:r w:rsidRPr="0095697C">
        <w:rPr>
          <w:color w:val="000000" w:themeColor="text1"/>
        </w:rPr>
        <w:t>, cu modificările și completările ulterioare, își păstrează valabilitatea, cu excepția prevederilor care sunt contrare prezentei ordonanțe de urgență.</w:t>
      </w:r>
    </w:p>
    <w:bookmarkEnd w:id="9"/>
    <w:p w14:paraId="7BFF91DC" w14:textId="6E9253B9" w:rsidR="00402F4E" w:rsidRPr="0095697C" w:rsidRDefault="00402F4E" w:rsidP="002D4047">
      <w:pPr>
        <w:spacing w:beforeLines="50" w:afterLines="50" w:after="120"/>
        <w:ind w:left="0" w:firstLine="0"/>
        <w:rPr>
          <w:rFonts w:asciiTheme="minorHAnsi" w:eastAsiaTheme="minorHAnsi" w:hAnsiTheme="minorHAnsi" w:cstheme="minorBidi"/>
          <w:color w:val="000000" w:themeColor="text1"/>
          <w:kern w:val="2"/>
          <w14:ligatures w14:val="standardContextual"/>
        </w:rPr>
      </w:pPr>
      <w:r w:rsidRPr="0095697C">
        <w:rPr>
          <w:color w:val="000000" w:themeColor="text1"/>
        </w:rPr>
        <w:t xml:space="preserve">Prezenta </w:t>
      </w:r>
      <w:r w:rsidR="0052414F" w:rsidRPr="0095697C">
        <w:rPr>
          <w:bCs/>
          <w:color w:val="000000" w:themeColor="text1"/>
        </w:rPr>
        <w:t>ordonanță</w:t>
      </w:r>
      <w:r w:rsidRPr="0095697C">
        <w:rPr>
          <w:color w:val="000000" w:themeColor="text1"/>
        </w:rPr>
        <w:t xml:space="preserve"> de urgență transpune prevederile Directivei (UE) 2024/1711 a Parlamentului European și a Consiliului din 13 iunie 2024 de modificare a Directivelor (UE) 2018/2001 și (UE) 2019/944, publicată în Jurnalul Oficial al Uniunii Europene, Seria L din 26.6.2024.</w:t>
      </w:r>
    </w:p>
    <w:p w14:paraId="79D92EA6" w14:textId="77777777" w:rsidR="00D90563" w:rsidRPr="0095697C" w:rsidRDefault="00D90563" w:rsidP="00D90563">
      <w:pPr>
        <w:spacing w:beforeLines="50" w:afterLines="50" w:after="120"/>
        <w:ind w:left="0" w:firstLine="0"/>
        <w:rPr>
          <w:bCs/>
          <w:color w:val="000000" w:themeColor="text1"/>
        </w:rPr>
      </w:pPr>
    </w:p>
    <w:p w14:paraId="768C996C" w14:textId="77777777" w:rsidR="008C089B" w:rsidRPr="0095697C" w:rsidRDefault="008C089B" w:rsidP="00140E77">
      <w:pPr>
        <w:spacing w:beforeLines="50" w:afterLines="50" w:after="120"/>
        <w:ind w:left="0" w:firstLine="0"/>
        <w:rPr>
          <w:i/>
          <w:color w:val="000000" w:themeColor="text1"/>
          <w:bdr w:val="none" w:sz="0" w:space="0" w:color="auto" w:frame="1"/>
          <w:shd w:val="clear" w:color="auto" w:fill="FFFFFF"/>
        </w:rPr>
      </w:pPr>
    </w:p>
    <w:p w14:paraId="698D651D" w14:textId="77777777" w:rsidR="00FC10F5" w:rsidRPr="0095697C" w:rsidRDefault="00FC10F5" w:rsidP="002D4047">
      <w:pPr>
        <w:spacing w:beforeLines="50" w:afterLines="50" w:after="120"/>
        <w:ind w:left="0" w:firstLine="0"/>
        <w:rPr>
          <w:i/>
          <w:color w:val="000000" w:themeColor="text1"/>
          <w:bdr w:val="none" w:sz="0" w:space="0" w:color="auto" w:frame="1"/>
          <w:shd w:val="clear" w:color="auto" w:fill="FFFFFF"/>
        </w:rPr>
      </w:pPr>
    </w:p>
    <w:p w14:paraId="6E303446" w14:textId="20726D9D" w:rsidR="009B64DC" w:rsidRPr="0095697C" w:rsidRDefault="009B64DC" w:rsidP="002D4047">
      <w:pPr>
        <w:spacing w:beforeLines="50" w:afterLines="50" w:after="120"/>
        <w:ind w:left="0" w:firstLine="0"/>
        <w:jc w:val="center"/>
        <w:rPr>
          <w:rFonts w:asciiTheme="minorHAnsi" w:eastAsiaTheme="minorHAnsi" w:hAnsiTheme="minorHAnsi" w:cstheme="minorBidi"/>
          <w:b/>
          <w:color w:val="000000" w:themeColor="text1"/>
          <w:kern w:val="2"/>
          <w:bdr w:val="none" w:sz="0" w:space="0" w:color="auto" w:frame="1"/>
          <w:shd w:val="clear" w:color="auto" w:fill="FFFFFF"/>
          <w14:ligatures w14:val="standardContextual"/>
        </w:rPr>
      </w:pPr>
      <w:r w:rsidRPr="0095697C">
        <w:rPr>
          <w:b/>
          <w:color w:val="000000" w:themeColor="text1"/>
          <w:bdr w:val="none" w:sz="0" w:space="0" w:color="auto" w:frame="1"/>
          <w:shd w:val="clear" w:color="auto" w:fill="FFFFFF"/>
        </w:rPr>
        <w:t>PRIM</w:t>
      </w:r>
      <w:r w:rsidR="002D4047" w:rsidRPr="0095697C">
        <w:rPr>
          <w:b/>
          <w:bCs/>
        </w:rPr>
        <w:t xml:space="preserve"> - </w:t>
      </w:r>
      <w:r w:rsidRPr="0095697C">
        <w:rPr>
          <w:b/>
          <w:color w:val="000000" w:themeColor="text1"/>
          <w:bdr w:val="none" w:sz="0" w:space="0" w:color="auto" w:frame="1"/>
          <w:shd w:val="clear" w:color="auto" w:fill="FFFFFF"/>
        </w:rPr>
        <w:t>MINISTRU</w:t>
      </w:r>
    </w:p>
    <w:p w14:paraId="0C512B20" w14:textId="0897FF36" w:rsidR="00043A6A" w:rsidRPr="0095697C" w:rsidRDefault="009B64DC" w:rsidP="002D4047">
      <w:pPr>
        <w:spacing w:beforeLines="50" w:afterLines="50" w:after="120"/>
        <w:ind w:left="0" w:firstLine="0"/>
        <w:jc w:val="center"/>
        <w:rPr>
          <w:b/>
          <w:color w:val="000000" w:themeColor="text1"/>
        </w:rPr>
      </w:pPr>
      <w:r w:rsidRPr="0095697C">
        <w:rPr>
          <w:b/>
          <w:bCs/>
          <w:iCs/>
          <w:color w:val="000000" w:themeColor="text1"/>
          <w:bdr w:val="none" w:sz="0" w:space="0" w:color="auto" w:frame="1"/>
          <w:shd w:val="clear" w:color="auto" w:fill="FFFFFF"/>
        </w:rPr>
        <w:t>ILIE-GAVRIL</w:t>
      </w:r>
      <w:r w:rsidRPr="0095697C">
        <w:rPr>
          <w:b/>
          <w:color w:val="000000" w:themeColor="text1"/>
          <w:bdr w:val="none" w:sz="0" w:space="0" w:color="auto" w:frame="1"/>
          <w:shd w:val="clear" w:color="auto" w:fill="FFFFFF"/>
        </w:rPr>
        <w:t xml:space="preserve"> BOLOJAN</w:t>
      </w:r>
    </w:p>
    <w:sectPr w:rsidR="00043A6A" w:rsidRPr="0095697C" w:rsidSect="00A97B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3503" w14:textId="77777777" w:rsidR="00D01099" w:rsidRDefault="00D01099" w:rsidP="00FD0FF3">
      <w:pPr>
        <w:spacing w:before="0" w:line="240" w:lineRule="auto"/>
      </w:pPr>
      <w:r>
        <w:separator/>
      </w:r>
    </w:p>
  </w:endnote>
  <w:endnote w:type="continuationSeparator" w:id="0">
    <w:p w14:paraId="71709945" w14:textId="77777777" w:rsidR="00D01099" w:rsidRDefault="00D01099" w:rsidP="00FD0F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4467"/>
      <w:docPartObj>
        <w:docPartGallery w:val="Page Numbers (Bottom of Page)"/>
        <w:docPartUnique/>
      </w:docPartObj>
    </w:sdtPr>
    <w:sdtContent>
      <w:p w14:paraId="47E961A7" w14:textId="76B9A3BE" w:rsidR="00B04FD4" w:rsidRDefault="00B04FD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B411AF0" w14:textId="77777777" w:rsidR="00B04FD4" w:rsidRDefault="00B0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D99D" w14:textId="77777777" w:rsidR="00D01099" w:rsidRDefault="00D01099" w:rsidP="00FD0FF3">
      <w:pPr>
        <w:spacing w:before="0" w:line="240" w:lineRule="auto"/>
      </w:pPr>
      <w:r>
        <w:separator/>
      </w:r>
    </w:p>
  </w:footnote>
  <w:footnote w:type="continuationSeparator" w:id="0">
    <w:p w14:paraId="2322BEE5" w14:textId="77777777" w:rsidR="00D01099" w:rsidRDefault="00D01099" w:rsidP="00FD0F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858E" w14:textId="77777777" w:rsidR="00FD0FF3" w:rsidRDefault="00FD0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03"/>
    <w:multiLevelType w:val="hybridMultilevel"/>
    <w:tmpl w:val="77768FE6"/>
    <w:lvl w:ilvl="0" w:tplc="0409001B">
      <w:start w:val="1"/>
      <w:numFmt w:val="lowerRoman"/>
      <w:lvlText w:val="%1."/>
      <w:lvlJc w:val="right"/>
      <w:pPr>
        <w:ind w:left="805" w:hanging="39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15:restartNumberingAfterBreak="0">
    <w:nsid w:val="068A1C3B"/>
    <w:multiLevelType w:val="hybridMultilevel"/>
    <w:tmpl w:val="9822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B58C2"/>
    <w:multiLevelType w:val="hybridMultilevel"/>
    <w:tmpl w:val="8F94A3A4"/>
    <w:lvl w:ilvl="0" w:tplc="62F8373E">
      <w:start w:val="1"/>
      <w:numFmt w:val="decimal"/>
      <w:pStyle w:val="Heading1"/>
      <w:lvlText w:val="%1. "/>
      <w:lvlJc w:val="left"/>
      <w:pPr>
        <w:ind w:left="360" w:hanging="360"/>
      </w:pPr>
      <w:rPr>
        <w:rFonts w:ascii="Times New Roman" w:hAnsi="Times New Roman" w:cs="Times New Roman" w:hint="default"/>
        <w:b/>
        <w:bCs/>
      </w:rPr>
    </w:lvl>
    <w:lvl w:ilvl="1" w:tplc="2F58A4EE">
      <w:start w:val="1"/>
      <w:numFmt w:val="lowerRoman"/>
      <w:lvlText w:val="%2."/>
      <w:lvlJc w:val="left"/>
      <w:pPr>
        <w:ind w:left="1440" w:hanging="720"/>
      </w:pPr>
      <w:rPr>
        <w:rFonts w:hint="default"/>
      </w:rPr>
    </w:lvl>
    <w:lvl w:ilvl="2" w:tplc="609495CA">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653DF"/>
    <w:multiLevelType w:val="hybridMultilevel"/>
    <w:tmpl w:val="BD60833A"/>
    <w:lvl w:ilvl="0" w:tplc="BF6AC8E0">
      <w:start w:val="1"/>
      <w:numFmt w:val="lowerRoman"/>
      <w:lvlText w:val="%1."/>
      <w:lvlJc w:val="right"/>
      <w:pPr>
        <w:ind w:left="720" w:hanging="360"/>
      </w:pPr>
    </w:lvl>
    <w:lvl w:ilvl="1" w:tplc="E946EA9C">
      <w:start w:val="1"/>
      <w:numFmt w:val="lowerRoman"/>
      <w:lvlText w:val="%2."/>
      <w:lvlJc w:val="right"/>
      <w:pPr>
        <w:ind w:left="720" w:hanging="360"/>
      </w:pPr>
    </w:lvl>
    <w:lvl w:ilvl="2" w:tplc="FD3EE1DA">
      <w:start w:val="1"/>
      <w:numFmt w:val="lowerRoman"/>
      <w:lvlText w:val="%3."/>
      <w:lvlJc w:val="right"/>
      <w:pPr>
        <w:ind w:left="720" w:hanging="360"/>
      </w:pPr>
    </w:lvl>
    <w:lvl w:ilvl="3" w:tplc="19B6DD8A">
      <w:start w:val="1"/>
      <w:numFmt w:val="lowerRoman"/>
      <w:lvlText w:val="%4."/>
      <w:lvlJc w:val="right"/>
      <w:pPr>
        <w:ind w:left="720" w:hanging="360"/>
      </w:pPr>
    </w:lvl>
    <w:lvl w:ilvl="4" w:tplc="94A89D1E">
      <w:start w:val="1"/>
      <w:numFmt w:val="lowerRoman"/>
      <w:lvlText w:val="%5."/>
      <w:lvlJc w:val="right"/>
      <w:pPr>
        <w:ind w:left="720" w:hanging="360"/>
      </w:pPr>
    </w:lvl>
    <w:lvl w:ilvl="5" w:tplc="2634E50A">
      <w:start w:val="1"/>
      <w:numFmt w:val="lowerRoman"/>
      <w:lvlText w:val="%6."/>
      <w:lvlJc w:val="right"/>
      <w:pPr>
        <w:ind w:left="720" w:hanging="360"/>
      </w:pPr>
    </w:lvl>
    <w:lvl w:ilvl="6" w:tplc="536265B0">
      <w:start w:val="1"/>
      <w:numFmt w:val="lowerRoman"/>
      <w:lvlText w:val="%7."/>
      <w:lvlJc w:val="right"/>
      <w:pPr>
        <w:ind w:left="720" w:hanging="360"/>
      </w:pPr>
    </w:lvl>
    <w:lvl w:ilvl="7" w:tplc="72B4E992">
      <w:start w:val="1"/>
      <w:numFmt w:val="lowerRoman"/>
      <w:lvlText w:val="%8."/>
      <w:lvlJc w:val="right"/>
      <w:pPr>
        <w:ind w:left="720" w:hanging="360"/>
      </w:pPr>
    </w:lvl>
    <w:lvl w:ilvl="8" w:tplc="23980772">
      <w:start w:val="1"/>
      <w:numFmt w:val="lowerRoman"/>
      <w:lvlText w:val="%9."/>
      <w:lvlJc w:val="right"/>
      <w:pPr>
        <w:ind w:left="720" w:hanging="360"/>
      </w:pPr>
    </w:lvl>
  </w:abstractNum>
  <w:abstractNum w:abstractNumId="4" w15:restartNumberingAfterBreak="0">
    <w:nsid w:val="1177374E"/>
    <w:multiLevelType w:val="hybridMultilevel"/>
    <w:tmpl w:val="1F740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5E6F"/>
    <w:multiLevelType w:val="hybridMultilevel"/>
    <w:tmpl w:val="5664D050"/>
    <w:lvl w:ilvl="0" w:tplc="ACD8486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E21BB"/>
    <w:multiLevelType w:val="hybridMultilevel"/>
    <w:tmpl w:val="AE64C6F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85507F"/>
    <w:multiLevelType w:val="hybridMultilevel"/>
    <w:tmpl w:val="C36A61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B048C2"/>
    <w:multiLevelType w:val="hybridMultilevel"/>
    <w:tmpl w:val="D6F02F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71138A"/>
    <w:multiLevelType w:val="hybridMultilevel"/>
    <w:tmpl w:val="59AEB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36B0D"/>
    <w:multiLevelType w:val="hybridMultilevel"/>
    <w:tmpl w:val="6D3AB9B4"/>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B37800"/>
    <w:multiLevelType w:val="hybridMultilevel"/>
    <w:tmpl w:val="DF1CF1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A0C2B"/>
    <w:multiLevelType w:val="hybridMultilevel"/>
    <w:tmpl w:val="1CCC269C"/>
    <w:lvl w:ilvl="0" w:tplc="761ED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62E63"/>
    <w:multiLevelType w:val="hybridMultilevel"/>
    <w:tmpl w:val="AE64C6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A7245D"/>
    <w:multiLevelType w:val="hybridMultilevel"/>
    <w:tmpl w:val="99EC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0A15"/>
    <w:multiLevelType w:val="hybridMultilevel"/>
    <w:tmpl w:val="6F546906"/>
    <w:lvl w:ilvl="0" w:tplc="FFFFFFFF">
      <w:start w:val="1"/>
      <w:numFmt w:val="lowerLetter"/>
      <w:lvlText w:val="%1)"/>
      <w:lvlJc w:val="left"/>
      <w:pPr>
        <w:ind w:left="360" w:hanging="360"/>
      </w:pPr>
    </w:lvl>
    <w:lvl w:ilvl="1" w:tplc="7D18898A">
      <w:start w:val="1"/>
      <w:numFmt w:val="decimal"/>
      <w:lvlText w:val="%2."/>
      <w:lvlJc w:val="left"/>
      <w:pPr>
        <w:ind w:left="1188" w:hanging="46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31818C6"/>
    <w:multiLevelType w:val="hybridMultilevel"/>
    <w:tmpl w:val="0CE2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40219"/>
    <w:multiLevelType w:val="hybridMultilevel"/>
    <w:tmpl w:val="F2EE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64B48"/>
    <w:multiLevelType w:val="hybridMultilevel"/>
    <w:tmpl w:val="BC72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B7D25"/>
    <w:multiLevelType w:val="hybridMultilevel"/>
    <w:tmpl w:val="8410FE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85D69"/>
    <w:multiLevelType w:val="hybridMultilevel"/>
    <w:tmpl w:val="B39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B70F7"/>
    <w:multiLevelType w:val="hybridMultilevel"/>
    <w:tmpl w:val="0A1089F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72CB2F9F"/>
    <w:multiLevelType w:val="hybridMultilevel"/>
    <w:tmpl w:val="312CB09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74247C"/>
    <w:multiLevelType w:val="hybridMultilevel"/>
    <w:tmpl w:val="265E5BD8"/>
    <w:lvl w:ilvl="0" w:tplc="5AC6E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92745"/>
    <w:multiLevelType w:val="hybridMultilevel"/>
    <w:tmpl w:val="2D44DFC0"/>
    <w:lvl w:ilvl="0" w:tplc="326A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00BCA"/>
    <w:multiLevelType w:val="hybridMultilevel"/>
    <w:tmpl w:val="805E35AE"/>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5B509D"/>
    <w:multiLevelType w:val="hybridMultilevel"/>
    <w:tmpl w:val="C2084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338176">
    <w:abstractNumId w:val="21"/>
  </w:num>
  <w:num w:numId="2" w16cid:durableId="653608357">
    <w:abstractNumId w:val="15"/>
  </w:num>
  <w:num w:numId="3" w16cid:durableId="837959660">
    <w:abstractNumId w:val="2"/>
  </w:num>
  <w:num w:numId="4" w16cid:durableId="337198984">
    <w:abstractNumId w:val="27"/>
  </w:num>
  <w:num w:numId="5" w16cid:durableId="1286277783">
    <w:abstractNumId w:val="17"/>
  </w:num>
  <w:num w:numId="6" w16cid:durableId="2068869655">
    <w:abstractNumId w:val="16"/>
  </w:num>
  <w:num w:numId="7" w16cid:durableId="1732314149">
    <w:abstractNumId w:val="14"/>
  </w:num>
  <w:num w:numId="8" w16cid:durableId="494225906">
    <w:abstractNumId w:val="5"/>
  </w:num>
  <w:num w:numId="9" w16cid:durableId="276832247">
    <w:abstractNumId w:val="0"/>
  </w:num>
  <w:num w:numId="10" w16cid:durableId="287779944">
    <w:abstractNumId w:val="3"/>
  </w:num>
  <w:num w:numId="11" w16cid:durableId="525795348">
    <w:abstractNumId w:val="11"/>
  </w:num>
  <w:num w:numId="12" w16cid:durableId="676812585">
    <w:abstractNumId w:val="2"/>
    <w:lvlOverride w:ilvl="0">
      <w:startOverride w:val="1"/>
    </w:lvlOverride>
  </w:num>
  <w:num w:numId="13" w16cid:durableId="1780222529">
    <w:abstractNumId w:val="2"/>
  </w:num>
  <w:num w:numId="14" w16cid:durableId="378213961">
    <w:abstractNumId w:val="13"/>
  </w:num>
  <w:num w:numId="15" w16cid:durableId="1137337979">
    <w:abstractNumId w:val="6"/>
  </w:num>
  <w:num w:numId="16" w16cid:durableId="594242373">
    <w:abstractNumId w:val="28"/>
  </w:num>
  <w:num w:numId="17" w16cid:durableId="1880822974">
    <w:abstractNumId w:val="22"/>
  </w:num>
  <w:num w:numId="18" w16cid:durableId="859244888">
    <w:abstractNumId w:val="10"/>
  </w:num>
  <w:num w:numId="19" w16cid:durableId="1898122326">
    <w:abstractNumId w:val="24"/>
  </w:num>
  <w:num w:numId="20" w16cid:durableId="438065555">
    <w:abstractNumId w:val="8"/>
  </w:num>
  <w:num w:numId="21" w16cid:durableId="1586962091">
    <w:abstractNumId w:val="9"/>
  </w:num>
  <w:num w:numId="22" w16cid:durableId="1584991466">
    <w:abstractNumId w:val="7"/>
  </w:num>
  <w:num w:numId="23" w16cid:durableId="778910763">
    <w:abstractNumId w:val="4"/>
  </w:num>
  <w:num w:numId="24" w16cid:durableId="424032714">
    <w:abstractNumId w:val="2"/>
  </w:num>
  <w:num w:numId="25" w16cid:durableId="160435187">
    <w:abstractNumId w:val="2"/>
  </w:num>
  <w:num w:numId="26" w16cid:durableId="1143082634">
    <w:abstractNumId w:val="2"/>
  </w:num>
  <w:num w:numId="27" w16cid:durableId="537426224">
    <w:abstractNumId w:val="2"/>
  </w:num>
  <w:num w:numId="28" w16cid:durableId="1726828650">
    <w:abstractNumId w:val="2"/>
  </w:num>
  <w:num w:numId="29" w16cid:durableId="1636452238">
    <w:abstractNumId w:val="2"/>
  </w:num>
  <w:num w:numId="30" w16cid:durableId="1705053320">
    <w:abstractNumId w:val="2"/>
  </w:num>
  <w:num w:numId="31" w16cid:durableId="817259460">
    <w:abstractNumId w:val="2"/>
  </w:num>
  <w:num w:numId="32" w16cid:durableId="1357348565">
    <w:abstractNumId w:val="2"/>
  </w:num>
  <w:num w:numId="33" w16cid:durableId="257982220">
    <w:abstractNumId w:val="2"/>
  </w:num>
  <w:num w:numId="34" w16cid:durableId="2024933691">
    <w:abstractNumId w:val="2"/>
  </w:num>
  <w:num w:numId="35" w16cid:durableId="889267995">
    <w:abstractNumId w:val="2"/>
  </w:num>
  <w:num w:numId="36" w16cid:durableId="1498232153">
    <w:abstractNumId w:val="2"/>
  </w:num>
  <w:num w:numId="37" w16cid:durableId="313728184">
    <w:abstractNumId w:val="2"/>
  </w:num>
  <w:num w:numId="38" w16cid:durableId="791434590">
    <w:abstractNumId w:val="2"/>
  </w:num>
  <w:num w:numId="39" w16cid:durableId="1641767323">
    <w:abstractNumId w:val="2"/>
  </w:num>
  <w:num w:numId="40" w16cid:durableId="2089232956">
    <w:abstractNumId w:val="1"/>
  </w:num>
  <w:num w:numId="41" w16cid:durableId="1018697396">
    <w:abstractNumId w:val="25"/>
  </w:num>
  <w:num w:numId="42" w16cid:durableId="2101367266">
    <w:abstractNumId w:val="26"/>
  </w:num>
  <w:num w:numId="43" w16cid:durableId="1668941178">
    <w:abstractNumId w:val="18"/>
  </w:num>
  <w:num w:numId="44" w16cid:durableId="1752433208">
    <w:abstractNumId w:val="19"/>
  </w:num>
  <w:num w:numId="45" w16cid:durableId="1318727073">
    <w:abstractNumId w:val="12"/>
  </w:num>
  <w:num w:numId="46" w16cid:durableId="70466155">
    <w:abstractNumId w:val="20"/>
  </w:num>
  <w:num w:numId="47" w16cid:durableId="531651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2299"/>
    <w:rsid w:val="0002375E"/>
    <w:rsid w:val="00024D7E"/>
    <w:rsid w:val="000253F5"/>
    <w:rsid w:val="00025D45"/>
    <w:rsid w:val="00033970"/>
    <w:rsid w:val="00037CA5"/>
    <w:rsid w:val="00040619"/>
    <w:rsid w:val="00042B2F"/>
    <w:rsid w:val="00043A6A"/>
    <w:rsid w:val="00043B3D"/>
    <w:rsid w:val="00050DF7"/>
    <w:rsid w:val="00061591"/>
    <w:rsid w:val="0006267B"/>
    <w:rsid w:val="00065A7D"/>
    <w:rsid w:val="0006699A"/>
    <w:rsid w:val="0006764D"/>
    <w:rsid w:val="00070773"/>
    <w:rsid w:val="000715FB"/>
    <w:rsid w:val="000771F8"/>
    <w:rsid w:val="00080997"/>
    <w:rsid w:val="000826E5"/>
    <w:rsid w:val="000852BF"/>
    <w:rsid w:val="000865F4"/>
    <w:rsid w:val="00092F86"/>
    <w:rsid w:val="00094D00"/>
    <w:rsid w:val="00095C09"/>
    <w:rsid w:val="000A1717"/>
    <w:rsid w:val="000B13CB"/>
    <w:rsid w:val="000B182C"/>
    <w:rsid w:val="000B591E"/>
    <w:rsid w:val="000B75FC"/>
    <w:rsid w:val="000C125A"/>
    <w:rsid w:val="000D3465"/>
    <w:rsid w:val="000D3A1A"/>
    <w:rsid w:val="000D6E9F"/>
    <w:rsid w:val="000E1AE5"/>
    <w:rsid w:val="000E7728"/>
    <w:rsid w:val="000E7DF1"/>
    <w:rsid w:val="000F60E3"/>
    <w:rsid w:val="00101482"/>
    <w:rsid w:val="00103412"/>
    <w:rsid w:val="001054AA"/>
    <w:rsid w:val="00105F7D"/>
    <w:rsid w:val="00112928"/>
    <w:rsid w:val="00115D39"/>
    <w:rsid w:val="00117278"/>
    <w:rsid w:val="00117A96"/>
    <w:rsid w:val="00117E82"/>
    <w:rsid w:val="001278C7"/>
    <w:rsid w:val="0013189D"/>
    <w:rsid w:val="00133DC5"/>
    <w:rsid w:val="00133F7A"/>
    <w:rsid w:val="0013444E"/>
    <w:rsid w:val="00140422"/>
    <w:rsid w:val="00140E77"/>
    <w:rsid w:val="00144DE1"/>
    <w:rsid w:val="00147314"/>
    <w:rsid w:val="001474E4"/>
    <w:rsid w:val="001529B5"/>
    <w:rsid w:val="00153705"/>
    <w:rsid w:val="00153C84"/>
    <w:rsid w:val="001715E0"/>
    <w:rsid w:val="00171D5B"/>
    <w:rsid w:val="00177EEA"/>
    <w:rsid w:val="0018029D"/>
    <w:rsid w:val="0018125C"/>
    <w:rsid w:val="00183EDF"/>
    <w:rsid w:val="0018648D"/>
    <w:rsid w:val="00186ED5"/>
    <w:rsid w:val="00192452"/>
    <w:rsid w:val="00193435"/>
    <w:rsid w:val="00195121"/>
    <w:rsid w:val="00196E5F"/>
    <w:rsid w:val="001A1466"/>
    <w:rsid w:val="001A1A8A"/>
    <w:rsid w:val="001A7D36"/>
    <w:rsid w:val="001B0833"/>
    <w:rsid w:val="001B2292"/>
    <w:rsid w:val="001D010E"/>
    <w:rsid w:val="001D0D70"/>
    <w:rsid w:val="001D3DE1"/>
    <w:rsid w:val="001D6350"/>
    <w:rsid w:val="001D6F15"/>
    <w:rsid w:val="001E7082"/>
    <w:rsid w:val="001F3FFB"/>
    <w:rsid w:val="001F7BB8"/>
    <w:rsid w:val="001F7FB2"/>
    <w:rsid w:val="0020494B"/>
    <w:rsid w:val="00206A88"/>
    <w:rsid w:val="002074E6"/>
    <w:rsid w:val="002129EA"/>
    <w:rsid w:val="00216755"/>
    <w:rsid w:val="00222C7D"/>
    <w:rsid w:val="00230037"/>
    <w:rsid w:val="0023003D"/>
    <w:rsid w:val="00234637"/>
    <w:rsid w:val="00236CAD"/>
    <w:rsid w:val="00237CA4"/>
    <w:rsid w:val="0024764C"/>
    <w:rsid w:val="0024765C"/>
    <w:rsid w:val="00250CC6"/>
    <w:rsid w:val="00265628"/>
    <w:rsid w:val="00271FFB"/>
    <w:rsid w:val="00272CA3"/>
    <w:rsid w:val="0027391A"/>
    <w:rsid w:val="00275C80"/>
    <w:rsid w:val="00277FFB"/>
    <w:rsid w:val="002853F9"/>
    <w:rsid w:val="0029027F"/>
    <w:rsid w:val="0029217B"/>
    <w:rsid w:val="002A3A22"/>
    <w:rsid w:val="002A5CBB"/>
    <w:rsid w:val="002A5E72"/>
    <w:rsid w:val="002B4245"/>
    <w:rsid w:val="002B707E"/>
    <w:rsid w:val="002B73D9"/>
    <w:rsid w:val="002C5B1D"/>
    <w:rsid w:val="002D4047"/>
    <w:rsid w:val="002D4765"/>
    <w:rsid w:val="002D490D"/>
    <w:rsid w:val="002D4AB7"/>
    <w:rsid w:val="003018C9"/>
    <w:rsid w:val="003037D2"/>
    <w:rsid w:val="0030727F"/>
    <w:rsid w:val="003076DC"/>
    <w:rsid w:val="003078E9"/>
    <w:rsid w:val="00310BB9"/>
    <w:rsid w:val="00314172"/>
    <w:rsid w:val="003161DA"/>
    <w:rsid w:val="0032171F"/>
    <w:rsid w:val="00322E7F"/>
    <w:rsid w:val="00324E7C"/>
    <w:rsid w:val="00334947"/>
    <w:rsid w:val="003358E1"/>
    <w:rsid w:val="00343CBA"/>
    <w:rsid w:val="00344DF4"/>
    <w:rsid w:val="00347FED"/>
    <w:rsid w:val="00356A38"/>
    <w:rsid w:val="0037032C"/>
    <w:rsid w:val="00376742"/>
    <w:rsid w:val="003802DC"/>
    <w:rsid w:val="0038169C"/>
    <w:rsid w:val="003860DD"/>
    <w:rsid w:val="003913DC"/>
    <w:rsid w:val="00391F88"/>
    <w:rsid w:val="003A4584"/>
    <w:rsid w:val="003A538F"/>
    <w:rsid w:val="003A57AA"/>
    <w:rsid w:val="003A5CA9"/>
    <w:rsid w:val="003A7A67"/>
    <w:rsid w:val="003B04DF"/>
    <w:rsid w:val="003B212F"/>
    <w:rsid w:val="003B4433"/>
    <w:rsid w:val="003B6938"/>
    <w:rsid w:val="003C3D80"/>
    <w:rsid w:val="003C55CA"/>
    <w:rsid w:val="003D5603"/>
    <w:rsid w:val="003E04D4"/>
    <w:rsid w:val="003E0712"/>
    <w:rsid w:val="003E41D6"/>
    <w:rsid w:val="003F017E"/>
    <w:rsid w:val="003F182D"/>
    <w:rsid w:val="003F1D1B"/>
    <w:rsid w:val="003F5C81"/>
    <w:rsid w:val="003F601A"/>
    <w:rsid w:val="003F6DCE"/>
    <w:rsid w:val="003F7090"/>
    <w:rsid w:val="003F7BF0"/>
    <w:rsid w:val="0040114F"/>
    <w:rsid w:val="004019BE"/>
    <w:rsid w:val="00401FBD"/>
    <w:rsid w:val="00402CC6"/>
    <w:rsid w:val="00402F4E"/>
    <w:rsid w:val="004030E6"/>
    <w:rsid w:val="00404232"/>
    <w:rsid w:val="00405BE5"/>
    <w:rsid w:val="00405C70"/>
    <w:rsid w:val="00406114"/>
    <w:rsid w:val="00410F80"/>
    <w:rsid w:val="00415D4B"/>
    <w:rsid w:val="0041700A"/>
    <w:rsid w:val="004174AA"/>
    <w:rsid w:val="00417B42"/>
    <w:rsid w:val="0042059C"/>
    <w:rsid w:val="00420849"/>
    <w:rsid w:val="00423A7C"/>
    <w:rsid w:val="004240D6"/>
    <w:rsid w:val="0043195C"/>
    <w:rsid w:val="00433345"/>
    <w:rsid w:val="00437458"/>
    <w:rsid w:val="00447DB5"/>
    <w:rsid w:val="00455335"/>
    <w:rsid w:val="00462CBC"/>
    <w:rsid w:val="00463C27"/>
    <w:rsid w:val="00466B08"/>
    <w:rsid w:val="00474EF3"/>
    <w:rsid w:val="004808DF"/>
    <w:rsid w:val="00483023"/>
    <w:rsid w:val="00490939"/>
    <w:rsid w:val="00491E25"/>
    <w:rsid w:val="00493B9F"/>
    <w:rsid w:val="0049717D"/>
    <w:rsid w:val="004A3BB8"/>
    <w:rsid w:val="004A3CCC"/>
    <w:rsid w:val="004B2B94"/>
    <w:rsid w:val="004B3AE0"/>
    <w:rsid w:val="004B4A79"/>
    <w:rsid w:val="004B4E4A"/>
    <w:rsid w:val="004B566D"/>
    <w:rsid w:val="004C18B3"/>
    <w:rsid w:val="004C6264"/>
    <w:rsid w:val="004D1B34"/>
    <w:rsid w:val="004D3895"/>
    <w:rsid w:val="004D5865"/>
    <w:rsid w:val="004D6BFA"/>
    <w:rsid w:val="004D70A1"/>
    <w:rsid w:val="004E27EE"/>
    <w:rsid w:val="004F633D"/>
    <w:rsid w:val="00504A80"/>
    <w:rsid w:val="00512E54"/>
    <w:rsid w:val="00516A14"/>
    <w:rsid w:val="0052414F"/>
    <w:rsid w:val="005241AD"/>
    <w:rsid w:val="00532F6F"/>
    <w:rsid w:val="00533D26"/>
    <w:rsid w:val="00534812"/>
    <w:rsid w:val="005372A3"/>
    <w:rsid w:val="005406B7"/>
    <w:rsid w:val="00553874"/>
    <w:rsid w:val="00553920"/>
    <w:rsid w:val="00565D5E"/>
    <w:rsid w:val="0056724D"/>
    <w:rsid w:val="00570607"/>
    <w:rsid w:val="00572D4A"/>
    <w:rsid w:val="0057341F"/>
    <w:rsid w:val="0057473B"/>
    <w:rsid w:val="00576852"/>
    <w:rsid w:val="00580658"/>
    <w:rsid w:val="00581689"/>
    <w:rsid w:val="005829D4"/>
    <w:rsid w:val="00583E95"/>
    <w:rsid w:val="00587DF2"/>
    <w:rsid w:val="00587E78"/>
    <w:rsid w:val="00592DB8"/>
    <w:rsid w:val="00593820"/>
    <w:rsid w:val="00595686"/>
    <w:rsid w:val="005A1398"/>
    <w:rsid w:val="005A1F79"/>
    <w:rsid w:val="005A436F"/>
    <w:rsid w:val="005A7562"/>
    <w:rsid w:val="005B0086"/>
    <w:rsid w:val="005B7189"/>
    <w:rsid w:val="005B7E97"/>
    <w:rsid w:val="005C3D39"/>
    <w:rsid w:val="005C500A"/>
    <w:rsid w:val="005D1D02"/>
    <w:rsid w:val="005E43CA"/>
    <w:rsid w:val="005F3D65"/>
    <w:rsid w:val="00600805"/>
    <w:rsid w:val="00600E1E"/>
    <w:rsid w:val="0060318D"/>
    <w:rsid w:val="0061036E"/>
    <w:rsid w:val="006103EE"/>
    <w:rsid w:val="00613B84"/>
    <w:rsid w:val="0061604F"/>
    <w:rsid w:val="0061645B"/>
    <w:rsid w:val="0062478F"/>
    <w:rsid w:val="00625F2F"/>
    <w:rsid w:val="0063208C"/>
    <w:rsid w:val="00640155"/>
    <w:rsid w:val="00643FC2"/>
    <w:rsid w:val="00645855"/>
    <w:rsid w:val="00645A2B"/>
    <w:rsid w:val="006524E1"/>
    <w:rsid w:val="00654929"/>
    <w:rsid w:val="006554F4"/>
    <w:rsid w:val="006644E4"/>
    <w:rsid w:val="006760A9"/>
    <w:rsid w:val="006808B8"/>
    <w:rsid w:val="00684891"/>
    <w:rsid w:val="006862A9"/>
    <w:rsid w:val="00687BF2"/>
    <w:rsid w:val="006943A6"/>
    <w:rsid w:val="00697780"/>
    <w:rsid w:val="006A491B"/>
    <w:rsid w:val="006A666A"/>
    <w:rsid w:val="006B4015"/>
    <w:rsid w:val="006B5199"/>
    <w:rsid w:val="006C5AC6"/>
    <w:rsid w:val="006C653D"/>
    <w:rsid w:val="006C72CF"/>
    <w:rsid w:val="006D1F3C"/>
    <w:rsid w:val="006D57C9"/>
    <w:rsid w:val="006E3238"/>
    <w:rsid w:val="006E342B"/>
    <w:rsid w:val="006E385A"/>
    <w:rsid w:val="006E3BCB"/>
    <w:rsid w:val="006E6750"/>
    <w:rsid w:val="006E75BE"/>
    <w:rsid w:val="006F26F4"/>
    <w:rsid w:val="006F4C2C"/>
    <w:rsid w:val="006F6070"/>
    <w:rsid w:val="007027C4"/>
    <w:rsid w:val="00702F2E"/>
    <w:rsid w:val="00703178"/>
    <w:rsid w:val="00707710"/>
    <w:rsid w:val="0071165E"/>
    <w:rsid w:val="00712F0C"/>
    <w:rsid w:val="00713095"/>
    <w:rsid w:val="007153BD"/>
    <w:rsid w:val="00716B03"/>
    <w:rsid w:val="00716F7A"/>
    <w:rsid w:val="00723E2F"/>
    <w:rsid w:val="007246AE"/>
    <w:rsid w:val="0072640E"/>
    <w:rsid w:val="0073516D"/>
    <w:rsid w:val="007353D2"/>
    <w:rsid w:val="00736586"/>
    <w:rsid w:val="007374E7"/>
    <w:rsid w:val="00737A35"/>
    <w:rsid w:val="00741281"/>
    <w:rsid w:val="007427C5"/>
    <w:rsid w:val="00745FBD"/>
    <w:rsid w:val="00752F71"/>
    <w:rsid w:val="00752FDA"/>
    <w:rsid w:val="00754B90"/>
    <w:rsid w:val="00755C14"/>
    <w:rsid w:val="00761B6E"/>
    <w:rsid w:val="0076505E"/>
    <w:rsid w:val="00771AE6"/>
    <w:rsid w:val="00771C45"/>
    <w:rsid w:val="00774704"/>
    <w:rsid w:val="00774EC4"/>
    <w:rsid w:val="00776768"/>
    <w:rsid w:val="00786BC8"/>
    <w:rsid w:val="007917C8"/>
    <w:rsid w:val="00793DFA"/>
    <w:rsid w:val="0079606B"/>
    <w:rsid w:val="007A4730"/>
    <w:rsid w:val="007A6D45"/>
    <w:rsid w:val="007B11C6"/>
    <w:rsid w:val="007B1535"/>
    <w:rsid w:val="007B4CAE"/>
    <w:rsid w:val="007C2D4C"/>
    <w:rsid w:val="007C3E12"/>
    <w:rsid w:val="007C630A"/>
    <w:rsid w:val="007D2D03"/>
    <w:rsid w:val="007E174D"/>
    <w:rsid w:val="007E68C8"/>
    <w:rsid w:val="007F580D"/>
    <w:rsid w:val="00807D27"/>
    <w:rsid w:val="00812D34"/>
    <w:rsid w:val="00813C31"/>
    <w:rsid w:val="00823FB0"/>
    <w:rsid w:val="008248A9"/>
    <w:rsid w:val="00842540"/>
    <w:rsid w:val="008425B5"/>
    <w:rsid w:val="00842CE7"/>
    <w:rsid w:val="008446A4"/>
    <w:rsid w:val="00844B5B"/>
    <w:rsid w:val="008534E8"/>
    <w:rsid w:val="00853F69"/>
    <w:rsid w:val="00856371"/>
    <w:rsid w:val="00871A1E"/>
    <w:rsid w:val="00873F84"/>
    <w:rsid w:val="00874D43"/>
    <w:rsid w:val="00882722"/>
    <w:rsid w:val="00883FAD"/>
    <w:rsid w:val="0088590D"/>
    <w:rsid w:val="0088670B"/>
    <w:rsid w:val="00892263"/>
    <w:rsid w:val="0089525B"/>
    <w:rsid w:val="00896870"/>
    <w:rsid w:val="00896930"/>
    <w:rsid w:val="00897B29"/>
    <w:rsid w:val="008A10BB"/>
    <w:rsid w:val="008C089B"/>
    <w:rsid w:val="008C2E30"/>
    <w:rsid w:val="008C345B"/>
    <w:rsid w:val="008C56E0"/>
    <w:rsid w:val="008D2EBD"/>
    <w:rsid w:val="008D6160"/>
    <w:rsid w:val="008D7B7E"/>
    <w:rsid w:val="008D7C3D"/>
    <w:rsid w:val="008E0A0E"/>
    <w:rsid w:val="008E5C6F"/>
    <w:rsid w:val="008F4E0F"/>
    <w:rsid w:val="008F6104"/>
    <w:rsid w:val="00900502"/>
    <w:rsid w:val="00901903"/>
    <w:rsid w:val="0090338F"/>
    <w:rsid w:val="00905C48"/>
    <w:rsid w:val="009119FB"/>
    <w:rsid w:val="00913D00"/>
    <w:rsid w:val="00921A68"/>
    <w:rsid w:val="00922543"/>
    <w:rsid w:val="00922E7B"/>
    <w:rsid w:val="009232B6"/>
    <w:rsid w:val="0092404E"/>
    <w:rsid w:val="009261FF"/>
    <w:rsid w:val="00934E91"/>
    <w:rsid w:val="00940449"/>
    <w:rsid w:val="0094393A"/>
    <w:rsid w:val="00945507"/>
    <w:rsid w:val="009464D6"/>
    <w:rsid w:val="009544D4"/>
    <w:rsid w:val="0095697C"/>
    <w:rsid w:val="0096230F"/>
    <w:rsid w:val="00973E6E"/>
    <w:rsid w:val="0097474C"/>
    <w:rsid w:val="0097492A"/>
    <w:rsid w:val="00986506"/>
    <w:rsid w:val="00987525"/>
    <w:rsid w:val="0099172B"/>
    <w:rsid w:val="009A0478"/>
    <w:rsid w:val="009A0A45"/>
    <w:rsid w:val="009A20DA"/>
    <w:rsid w:val="009A61BF"/>
    <w:rsid w:val="009B50F9"/>
    <w:rsid w:val="009B64DC"/>
    <w:rsid w:val="009B6B84"/>
    <w:rsid w:val="009C5484"/>
    <w:rsid w:val="009C5C4A"/>
    <w:rsid w:val="009C631C"/>
    <w:rsid w:val="009C7A16"/>
    <w:rsid w:val="009D56EA"/>
    <w:rsid w:val="009D575A"/>
    <w:rsid w:val="009D67D8"/>
    <w:rsid w:val="009E26D5"/>
    <w:rsid w:val="009E31C0"/>
    <w:rsid w:val="009E7C99"/>
    <w:rsid w:val="009F1E94"/>
    <w:rsid w:val="009F4EC8"/>
    <w:rsid w:val="009F596A"/>
    <w:rsid w:val="009F7CCE"/>
    <w:rsid w:val="00A0002A"/>
    <w:rsid w:val="00A01A40"/>
    <w:rsid w:val="00A05E89"/>
    <w:rsid w:val="00A05ED5"/>
    <w:rsid w:val="00A05F3A"/>
    <w:rsid w:val="00A137CD"/>
    <w:rsid w:val="00A17D52"/>
    <w:rsid w:val="00A22583"/>
    <w:rsid w:val="00A307AD"/>
    <w:rsid w:val="00A31289"/>
    <w:rsid w:val="00A34B29"/>
    <w:rsid w:val="00A3568F"/>
    <w:rsid w:val="00A36148"/>
    <w:rsid w:val="00A40B3C"/>
    <w:rsid w:val="00A40CD4"/>
    <w:rsid w:val="00A45AB6"/>
    <w:rsid w:val="00A53AD8"/>
    <w:rsid w:val="00A57AD2"/>
    <w:rsid w:val="00A63453"/>
    <w:rsid w:val="00A737BD"/>
    <w:rsid w:val="00A80DD6"/>
    <w:rsid w:val="00A81F89"/>
    <w:rsid w:val="00A858C5"/>
    <w:rsid w:val="00A86C9C"/>
    <w:rsid w:val="00A87D39"/>
    <w:rsid w:val="00A92F56"/>
    <w:rsid w:val="00A960D2"/>
    <w:rsid w:val="00A97BDD"/>
    <w:rsid w:val="00AA2E80"/>
    <w:rsid w:val="00AC1E2F"/>
    <w:rsid w:val="00AC264F"/>
    <w:rsid w:val="00AC47CE"/>
    <w:rsid w:val="00AC4ADB"/>
    <w:rsid w:val="00AC4BA1"/>
    <w:rsid w:val="00AC5BCE"/>
    <w:rsid w:val="00AC6F15"/>
    <w:rsid w:val="00AD3C94"/>
    <w:rsid w:val="00AD3D97"/>
    <w:rsid w:val="00AE06B0"/>
    <w:rsid w:val="00AE2E6E"/>
    <w:rsid w:val="00AE40BD"/>
    <w:rsid w:val="00AE4E2D"/>
    <w:rsid w:val="00AE64A3"/>
    <w:rsid w:val="00AF0808"/>
    <w:rsid w:val="00AF3732"/>
    <w:rsid w:val="00AF7DF3"/>
    <w:rsid w:val="00B03246"/>
    <w:rsid w:val="00B037A1"/>
    <w:rsid w:val="00B03E77"/>
    <w:rsid w:val="00B03F1D"/>
    <w:rsid w:val="00B04FD4"/>
    <w:rsid w:val="00B062E8"/>
    <w:rsid w:val="00B127AC"/>
    <w:rsid w:val="00B16869"/>
    <w:rsid w:val="00B22E12"/>
    <w:rsid w:val="00B2313F"/>
    <w:rsid w:val="00B2792B"/>
    <w:rsid w:val="00B33769"/>
    <w:rsid w:val="00B34E74"/>
    <w:rsid w:val="00B3646D"/>
    <w:rsid w:val="00B422FC"/>
    <w:rsid w:val="00B43E9C"/>
    <w:rsid w:val="00B46F43"/>
    <w:rsid w:val="00B502C3"/>
    <w:rsid w:val="00B50567"/>
    <w:rsid w:val="00B51FBA"/>
    <w:rsid w:val="00B5234F"/>
    <w:rsid w:val="00B5274F"/>
    <w:rsid w:val="00B62AE5"/>
    <w:rsid w:val="00B64019"/>
    <w:rsid w:val="00B7061A"/>
    <w:rsid w:val="00B720A2"/>
    <w:rsid w:val="00B7310F"/>
    <w:rsid w:val="00B75112"/>
    <w:rsid w:val="00B7623C"/>
    <w:rsid w:val="00B76887"/>
    <w:rsid w:val="00B76EE4"/>
    <w:rsid w:val="00B84381"/>
    <w:rsid w:val="00B84F62"/>
    <w:rsid w:val="00B85B0B"/>
    <w:rsid w:val="00B8786A"/>
    <w:rsid w:val="00B90CF7"/>
    <w:rsid w:val="00B91E7D"/>
    <w:rsid w:val="00B928B1"/>
    <w:rsid w:val="00B94352"/>
    <w:rsid w:val="00BC23CA"/>
    <w:rsid w:val="00BC2680"/>
    <w:rsid w:val="00BC485D"/>
    <w:rsid w:val="00BC6CB9"/>
    <w:rsid w:val="00BC78F9"/>
    <w:rsid w:val="00BD3E56"/>
    <w:rsid w:val="00C010EA"/>
    <w:rsid w:val="00C03738"/>
    <w:rsid w:val="00C056FF"/>
    <w:rsid w:val="00C111DF"/>
    <w:rsid w:val="00C203A8"/>
    <w:rsid w:val="00C2299A"/>
    <w:rsid w:val="00C33390"/>
    <w:rsid w:val="00C357D0"/>
    <w:rsid w:val="00C41CBE"/>
    <w:rsid w:val="00C43DB3"/>
    <w:rsid w:val="00C517D2"/>
    <w:rsid w:val="00C54C6A"/>
    <w:rsid w:val="00C57543"/>
    <w:rsid w:val="00C575AC"/>
    <w:rsid w:val="00C57993"/>
    <w:rsid w:val="00C63145"/>
    <w:rsid w:val="00C663C9"/>
    <w:rsid w:val="00C74B76"/>
    <w:rsid w:val="00C81031"/>
    <w:rsid w:val="00C83790"/>
    <w:rsid w:val="00C838A9"/>
    <w:rsid w:val="00C85F69"/>
    <w:rsid w:val="00C91088"/>
    <w:rsid w:val="00CA1AAB"/>
    <w:rsid w:val="00CA3E1A"/>
    <w:rsid w:val="00CA585B"/>
    <w:rsid w:val="00CB11F5"/>
    <w:rsid w:val="00CB1760"/>
    <w:rsid w:val="00CB3CDB"/>
    <w:rsid w:val="00CB5224"/>
    <w:rsid w:val="00CD1425"/>
    <w:rsid w:val="00CD1D27"/>
    <w:rsid w:val="00CD3C77"/>
    <w:rsid w:val="00CE4B06"/>
    <w:rsid w:val="00CE5878"/>
    <w:rsid w:val="00CF3B71"/>
    <w:rsid w:val="00CF7301"/>
    <w:rsid w:val="00CF7625"/>
    <w:rsid w:val="00D01099"/>
    <w:rsid w:val="00D0339D"/>
    <w:rsid w:val="00D0641A"/>
    <w:rsid w:val="00D070A3"/>
    <w:rsid w:val="00D10716"/>
    <w:rsid w:val="00D11A9A"/>
    <w:rsid w:val="00D14E82"/>
    <w:rsid w:val="00D21C2A"/>
    <w:rsid w:val="00D2739B"/>
    <w:rsid w:val="00D31980"/>
    <w:rsid w:val="00D34AC0"/>
    <w:rsid w:val="00D368EB"/>
    <w:rsid w:val="00D425E4"/>
    <w:rsid w:val="00D42FE0"/>
    <w:rsid w:val="00D43835"/>
    <w:rsid w:val="00D46EE5"/>
    <w:rsid w:val="00D50245"/>
    <w:rsid w:val="00D53554"/>
    <w:rsid w:val="00D54FE4"/>
    <w:rsid w:val="00D56BB8"/>
    <w:rsid w:val="00D6275E"/>
    <w:rsid w:val="00D64741"/>
    <w:rsid w:val="00D70496"/>
    <w:rsid w:val="00D82824"/>
    <w:rsid w:val="00D8430D"/>
    <w:rsid w:val="00D8501B"/>
    <w:rsid w:val="00D86992"/>
    <w:rsid w:val="00D90434"/>
    <w:rsid w:val="00D90563"/>
    <w:rsid w:val="00D915D4"/>
    <w:rsid w:val="00D9251A"/>
    <w:rsid w:val="00D9306C"/>
    <w:rsid w:val="00D95BCD"/>
    <w:rsid w:val="00D96994"/>
    <w:rsid w:val="00DA381D"/>
    <w:rsid w:val="00DB23CF"/>
    <w:rsid w:val="00DB2BBD"/>
    <w:rsid w:val="00DB6677"/>
    <w:rsid w:val="00DC064F"/>
    <w:rsid w:val="00DC3317"/>
    <w:rsid w:val="00DC4BA4"/>
    <w:rsid w:val="00DC52A9"/>
    <w:rsid w:val="00DC6E33"/>
    <w:rsid w:val="00DD5976"/>
    <w:rsid w:val="00DE054C"/>
    <w:rsid w:val="00DE120A"/>
    <w:rsid w:val="00DF263A"/>
    <w:rsid w:val="00DF277D"/>
    <w:rsid w:val="00DF3146"/>
    <w:rsid w:val="00DF42EA"/>
    <w:rsid w:val="00DF4FF3"/>
    <w:rsid w:val="00DF7F0B"/>
    <w:rsid w:val="00E00380"/>
    <w:rsid w:val="00E047B8"/>
    <w:rsid w:val="00E066EA"/>
    <w:rsid w:val="00E11E59"/>
    <w:rsid w:val="00E155AA"/>
    <w:rsid w:val="00E159DF"/>
    <w:rsid w:val="00E16CC8"/>
    <w:rsid w:val="00E1752B"/>
    <w:rsid w:val="00E200F3"/>
    <w:rsid w:val="00E21AB7"/>
    <w:rsid w:val="00E24F32"/>
    <w:rsid w:val="00E30395"/>
    <w:rsid w:val="00E327F7"/>
    <w:rsid w:val="00E32BB4"/>
    <w:rsid w:val="00E43D26"/>
    <w:rsid w:val="00E44B0E"/>
    <w:rsid w:val="00E7165D"/>
    <w:rsid w:val="00E732CA"/>
    <w:rsid w:val="00E75165"/>
    <w:rsid w:val="00E75781"/>
    <w:rsid w:val="00E8289D"/>
    <w:rsid w:val="00E82DC2"/>
    <w:rsid w:val="00E94FC9"/>
    <w:rsid w:val="00E95E1D"/>
    <w:rsid w:val="00E97934"/>
    <w:rsid w:val="00E97DFD"/>
    <w:rsid w:val="00EB0B5F"/>
    <w:rsid w:val="00EB5800"/>
    <w:rsid w:val="00EC3BBA"/>
    <w:rsid w:val="00ED493D"/>
    <w:rsid w:val="00ED4BB3"/>
    <w:rsid w:val="00ED4E1D"/>
    <w:rsid w:val="00EE39C7"/>
    <w:rsid w:val="00EE6814"/>
    <w:rsid w:val="00EE7592"/>
    <w:rsid w:val="00EF004F"/>
    <w:rsid w:val="00EF0A1C"/>
    <w:rsid w:val="00EF393D"/>
    <w:rsid w:val="00EF528C"/>
    <w:rsid w:val="00F03CF2"/>
    <w:rsid w:val="00F06FB3"/>
    <w:rsid w:val="00F104F6"/>
    <w:rsid w:val="00F1572A"/>
    <w:rsid w:val="00F1578A"/>
    <w:rsid w:val="00F23E44"/>
    <w:rsid w:val="00F27F0A"/>
    <w:rsid w:val="00F411A8"/>
    <w:rsid w:val="00F423CE"/>
    <w:rsid w:val="00F43183"/>
    <w:rsid w:val="00F5010D"/>
    <w:rsid w:val="00F5353B"/>
    <w:rsid w:val="00F60FA5"/>
    <w:rsid w:val="00F64FA4"/>
    <w:rsid w:val="00F675E2"/>
    <w:rsid w:val="00F67DC4"/>
    <w:rsid w:val="00F72A18"/>
    <w:rsid w:val="00F778FA"/>
    <w:rsid w:val="00F808BF"/>
    <w:rsid w:val="00F83F18"/>
    <w:rsid w:val="00F85F6E"/>
    <w:rsid w:val="00F86EF3"/>
    <w:rsid w:val="00F91B2E"/>
    <w:rsid w:val="00F95DC8"/>
    <w:rsid w:val="00FA15E6"/>
    <w:rsid w:val="00FA214C"/>
    <w:rsid w:val="00FA2674"/>
    <w:rsid w:val="00FA74AE"/>
    <w:rsid w:val="00FB0235"/>
    <w:rsid w:val="00FB0A49"/>
    <w:rsid w:val="00FB2744"/>
    <w:rsid w:val="00FB28C8"/>
    <w:rsid w:val="00FB4EF9"/>
    <w:rsid w:val="00FB71EB"/>
    <w:rsid w:val="00FC10F5"/>
    <w:rsid w:val="00FC2E9B"/>
    <w:rsid w:val="00FC3CF9"/>
    <w:rsid w:val="00FC73D5"/>
    <w:rsid w:val="00FD0FF3"/>
    <w:rsid w:val="00FE19F3"/>
    <w:rsid w:val="00FF2F57"/>
    <w:rsid w:val="00FF37CC"/>
    <w:rsid w:val="00FF4825"/>
    <w:rsid w:val="00FF5B83"/>
    <w:rsid w:val="00FF6EB1"/>
    <w:rsid w:val="00FF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10D"/>
  <w15:chartTrackingRefBased/>
  <w15:docId w15:val="{2927E01B-6EA8-4E22-B738-B95A2959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F3"/>
    <w:pPr>
      <w:spacing w:before="120" w:after="0" w:line="276" w:lineRule="auto"/>
      <w:ind w:left="418" w:hanging="418"/>
      <w:jc w:val="both"/>
    </w:pPr>
    <w:rPr>
      <w:rFonts w:ascii="Times New Roman" w:eastAsia="Calibri" w:hAnsi="Times New Roman" w:cs="Times New Roman"/>
      <w:noProof/>
      <w:kern w:val="0"/>
      <w:sz w:val="24"/>
      <w:szCs w:val="24"/>
      <w:lang w:val="ro-RO"/>
      <w14:ligatures w14:val="none"/>
    </w:rPr>
  </w:style>
  <w:style w:type="paragraph" w:styleId="Heading1">
    <w:name w:val="heading 1"/>
    <w:basedOn w:val="ListParagraph"/>
    <w:next w:val="Normal"/>
    <w:link w:val="Heading1Char"/>
    <w:uiPriority w:val="9"/>
    <w:qFormat/>
    <w:rsid w:val="00FD0FF3"/>
    <w:pPr>
      <w:numPr>
        <w:numId w:val="3"/>
      </w:numPr>
      <w:spacing w:after="200"/>
      <w:jc w:val="both"/>
      <w:outlineLvl w:val="0"/>
    </w:pPr>
    <w:rPr>
      <w:rFonts w:ascii="Trebuchet MS" w:hAnsi="Trebuchet MS"/>
      <w:b/>
      <w:color w:val="000000" w:themeColor="text1"/>
      <w:sz w:val="24"/>
      <w:szCs w:val="24"/>
    </w:rPr>
  </w:style>
  <w:style w:type="paragraph" w:styleId="Heading2">
    <w:name w:val="heading 2"/>
    <w:basedOn w:val="Normal"/>
    <w:next w:val="Normal"/>
    <w:link w:val="Heading2Char"/>
    <w:uiPriority w:val="9"/>
    <w:semiHidden/>
    <w:unhideWhenUsed/>
    <w:qFormat/>
    <w:rsid w:val="00FD0FF3"/>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0FF3"/>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0FF3"/>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D0FF3"/>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D0FF3"/>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D0FF3"/>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D0FF3"/>
    <w:pPr>
      <w:keepNext/>
      <w:keepLines/>
      <w:spacing w:before="0"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D0FF3"/>
    <w:pPr>
      <w:keepNext/>
      <w:keepLines/>
      <w:spacing w:before="0" w:line="259" w:lineRule="auto"/>
      <w:ind w:left="0"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03"/>
    <w:rPr>
      <w:rFonts w:ascii="Trebuchet MS" w:hAnsi="Trebuchet MS"/>
      <w:b/>
      <w:color w:val="000000" w:themeColor="text1"/>
      <w:sz w:val="24"/>
      <w:szCs w:val="24"/>
      <w:lang w:val="ro-RO"/>
    </w:rPr>
  </w:style>
  <w:style w:type="character" w:customStyle="1" w:styleId="Heading2Char">
    <w:name w:val="Heading 2 Char"/>
    <w:basedOn w:val="DefaultParagraphFont"/>
    <w:link w:val="Heading2"/>
    <w:uiPriority w:val="9"/>
    <w:semiHidden/>
    <w:rsid w:val="00EF393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F393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F393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F393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F39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F393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F39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F393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D0FF3"/>
    <w:pPr>
      <w:spacing w:before="0" w:after="80" w:line="240" w:lineRule="auto"/>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9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D0FF3"/>
    <w:pPr>
      <w:numPr>
        <w:ilvl w:val="1"/>
      </w:numPr>
      <w:spacing w:before="0" w:after="160" w:line="259" w:lineRule="auto"/>
      <w:ind w:left="418" w:hanging="418"/>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9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D0FF3"/>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393D"/>
    <w:rPr>
      <w:i/>
      <w:iCs/>
      <w:color w:val="404040" w:themeColor="text1" w:themeTint="BF"/>
      <w:lang w:val="ro-RO"/>
    </w:rPr>
  </w:style>
  <w:style w:type="paragraph" w:styleId="ListParagraph">
    <w:name w:val="List Paragraph"/>
    <w:basedOn w:val="Normal"/>
    <w:uiPriority w:val="34"/>
    <w:qFormat/>
    <w:rsid w:val="00FD0FF3"/>
    <w:pPr>
      <w:spacing w:before="0"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F393D"/>
    <w:rPr>
      <w:i/>
      <w:iCs/>
      <w:color w:val="2F5496" w:themeColor="accent1" w:themeShade="BF"/>
    </w:rPr>
  </w:style>
  <w:style w:type="paragraph" w:styleId="IntenseQuote">
    <w:name w:val="Intense Quote"/>
    <w:basedOn w:val="Normal"/>
    <w:next w:val="Normal"/>
    <w:link w:val="IntenseQuoteChar"/>
    <w:uiPriority w:val="30"/>
    <w:qFormat/>
    <w:rsid w:val="00FD0FF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393D"/>
    <w:rPr>
      <w:i/>
      <w:iCs/>
      <w:color w:val="2F5496" w:themeColor="accent1" w:themeShade="BF"/>
      <w:lang w:val="ro-RO"/>
    </w:rPr>
  </w:style>
  <w:style w:type="character" w:styleId="IntenseReference">
    <w:name w:val="Intense Reference"/>
    <w:basedOn w:val="DefaultParagraphFont"/>
    <w:uiPriority w:val="32"/>
    <w:qFormat/>
    <w:rsid w:val="00EF393D"/>
    <w:rPr>
      <w:b/>
      <w:bCs/>
      <w:smallCaps/>
      <w:color w:val="2F5496" w:themeColor="accent1" w:themeShade="BF"/>
      <w:spacing w:val="5"/>
    </w:rPr>
  </w:style>
  <w:style w:type="paragraph" w:styleId="Header">
    <w:name w:val="header"/>
    <w:basedOn w:val="Normal"/>
    <w:link w:val="HeaderChar"/>
    <w:uiPriority w:val="99"/>
    <w:unhideWhenUsed/>
    <w:rsid w:val="00FD0FF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04FD4"/>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unhideWhenUsed/>
    <w:rsid w:val="00FD0FF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4FD4"/>
    <w:rPr>
      <w:rFonts w:ascii="Times New Roman" w:eastAsia="Calibri" w:hAnsi="Times New Roman" w:cs="Times New Roman"/>
      <w:kern w:val="0"/>
      <w:sz w:val="24"/>
      <w:szCs w:val="24"/>
      <w:lang w:val="ro-RO"/>
      <w14:ligatures w14:val="none"/>
    </w:rPr>
  </w:style>
  <w:style w:type="paragraph" w:styleId="Revision">
    <w:name w:val="Revision"/>
    <w:hidden/>
    <w:uiPriority w:val="99"/>
    <w:semiHidden/>
    <w:rsid w:val="00FD0FF3"/>
    <w:pPr>
      <w:spacing w:after="0" w:line="240" w:lineRule="auto"/>
    </w:pPr>
    <w:rPr>
      <w:rFonts w:ascii="Times New Roman" w:eastAsia="Calibri"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033970"/>
    <w:rPr>
      <w:sz w:val="16"/>
      <w:szCs w:val="16"/>
    </w:rPr>
  </w:style>
  <w:style w:type="paragraph" w:styleId="CommentText">
    <w:name w:val="annotation text"/>
    <w:basedOn w:val="Normal"/>
    <w:link w:val="CommentTextChar"/>
    <w:uiPriority w:val="99"/>
    <w:unhideWhenUsed/>
    <w:rsid w:val="00033970"/>
    <w:pPr>
      <w:spacing w:line="240" w:lineRule="auto"/>
    </w:pPr>
    <w:rPr>
      <w:sz w:val="20"/>
      <w:szCs w:val="20"/>
    </w:rPr>
  </w:style>
  <w:style w:type="character" w:customStyle="1" w:styleId="CommentTextChar">
    <w:name w:val="Comment Text Char"/>
    <w:basedOn w:val="DefaultParagraphFont"/>
    <w:link w:val="CommentText"/>
    <w:uiPriority w:val="99"/>
    <w:rsid w:val="00033970"/>
    <w:rPr>
      <w:rFonts w:ascii="Times New Roman" w:eastAsia="Calibri"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33970"/>
    <w:rPr>
      <w:b/>
      <w:bCs/>
    </w:rPr>
  </w:style>
  <w:style w:type="character" w:customStyle="1" w:styleId="CommentSubjectChar">
    <w:name w:val="Comment Subject Char"/>
    <w:basedOn w:val="CommentTextChar"/>
    <w:link w:val="CommentSubject"/>
    <w:uiPriority w:val="99"/>
    <w:semiHidden/>
    <w:rsid w:val="00033970"/>
    <w:rPr>
      <w:rFonts w:ascii="Times New Roman" w:eastAsia="Calibri" w:hAnsi="Times New Roman" w:cs="Times New Roman"/>
      <w:b/>
      <w:bCs/>
      <w:kern w:val="0"/>
      <w:sz w:val="20"/>
      <w:szCs w:val="20"/>
      <w:lang w:val="ro-RO"/>
      <w14:ligatures w14:val="none"/>
    </w:rPr>
  </w:style>
  <w:style w:type="character" w:styleId="Hyperlink">
    <w:name w:val="Hyperlink"/>
    <w:basedOn w:val="DefaultParagraphFont"/>
    <w:uiPriority w:val="99"/>
    <w:unhideWhenUsed/>
    <w:rsid w:val="0029027F"/>
    <w:rPr>
      <w:color w:val="0563C1" w:themeColor="hyperlink"/>
      <w:u w:val="single"/>
    </w:rPr>
  </w:style>
  <w:style w:type="character" w:styleId="UnresolvedMention">
    <w:name w:val="Unresolved Mention"/>
    <w:basedOn w:val="DefaultParagraphFont"/>
    <w:uiPriority w:val="99"/>
    <w:semiHidden/>
    <w:unhideWhenUsed/>
    <w:rsid w:val="0029027F"/>
    <w:rPr>
      <w:color w:val="605E5C"/>
      <w:shd w:val="clear" w:color="auto" w:fill="E1DFDD"/>
    </w:rPr>
  </w:style>
  <w:style w:type="paragraph" w:customStyle="1" w:styleId="al">
    <w:name w:val="a_l"/>
    <w:basedOn w:val="Normal"/>
    <w:rsid w:val="00FD0FF3"/>
    <w:pPr>
      <w:spacing w:before="0" w:line="240" w:lineRule="auto"/>
      <w:ind w:left="0" w:firstLine="0"/>
    </w:pPr>
    <w:rPr>
      <w:rFonts w:eastAsiaTheme="minorEastAsia"/>
      <w14:ligatures w14:val="standardContextual"/>
    </w:rPr>
  </w:style>
  <w:style w:type="paragraph" w:styleId="NormalWeb">
    <w:name w:val="Normal (Web)"/>
    <w:basedOn w:val="Normal"/>
    <w:uiPriority w:val="99"/>
    <w:semiHidden/>
    <w:unhideWhenUsed/>
    <w:rsid w:val="00FD0FF3"/>
    <w:pPr>
      <w:spacing w:before="0" w:after="160" w:line="278" w:lineRule="auto"/>
      <w:ind w:left="0" w:firstLine="0"/>
      <w:jc w:val="left"/>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7587">
      <w:bodyDiv w:val="1"/>
      <w:marLeft w:val="0"/>
      <w:marRight w:val="0"/>
      <w:marTop w:val="0"/>
      <w:marBottom w:val="0"/>
      <w:divBdr>
        <w:top w:val="none" w:sz="0" w:space="0" w:color="auto"/>
        <w:left w:val="none" w:sz="0" w:space="0" w:color="auto"/>
        <w:bottom w:val="none" w:sz="0" w:space="0" w:color="auto"/>
        <w:right w:val="none" w:sz="0" w:space="0" w:color="auto"/>
      </w:divBdr>
    </w:div>
    <w:div w:id="679627170">
      <w:bodyDiv w:val="1"/>
      <w:marLeft w:val="0"/>
      <w:marRight w:val="0"/>
      <w:marTop w:val="0"/>
      <w:marBottom w:val="0"/>
      <w:divBdr>
        <w:top w:val="none" w:sz="0" w:space="0" w:color="auto"/>
        <w:left w:val="none" w:sz="0" w:space="0" w:color="auto"/>
        <w:bottom w:val="none" w:sz="0" w:space="0" w:color="auto"/>
        <w:right w:val="none" w:sz="0" w:space="0" w:color="auto"/>
      </w:divBdr>
    </w:div>
    <w:div w:id="699823669">
      <w:bodyDiv w:val="1"/>
      <w:marLeft w:val="0"/>
      <w:marRight w:val="0"/>
      <w:marTop w:val="0"/>
      <w:marBottom w:val="0"/>
      <w:divBdr>
        <w:top w:val="none" w:sz="0" w:space="0" w:color="auto"/>
        <w:left w:val="none" w:sz="0" w:space="0" w:color="auto"/>
        <w:bottom w:val="none" w:sz="0" w:space="0" w:color="auto"/>
        <w:right w:val="none" w:sz="0" w:space="0" w:color="auto"/>
      </w:divBdr>
    </w:div>
    <w:div w:id="898631072">
      <w:bodyDiv w:val="1"/>
      <w:marLeft w:val="0"/>
      <w:marRight w:val="0"/>
      <w:marTop w:val="0"/>
      <w:marBottom w:val="0"/>
      <w:divBdr>
        <w:top w:val="none" w:sz="0" w:space="0" w:color="auto"/>
        <w:left w:val="none" w:sz="0" w:space="0" w:color="auto"/>
        <w:bottom w:val="none" w:sz="0" w:space="0" w:color="auto"/>
        <w:right w:val="none" w:sz="0" w:space="0" w:color="auto"/>
      </w:divBdr>
    </w:div>
    <w:div w:id="1126042004">
      <w:bodyDiv w:val="1"/>
      <w:marLeft w:val="0"/>
      <w:marRight w:val="0"/>
      <w:marTop w:val="0"/>
      <w:marBottom w:val="0"/>
      <w:divBdr>
        <w:top w:val="none" w:sz="0" w:space="0" w:color="auto"/>
        <w:left w:val="none" w:sz="0" w:space="0" w:color="auto"/>
        <w:bottom w:val="none" w:sz="0" w:space="0" w:color="auto"/>
        <w:right w:val="none" w:sz="0" w:space="0" w:color="auto"/>
      </w:divBdr>
    </w:div>
    <w:div w:id="1249465282">
      <w:bodyDiv w:val="1"/>
      <w:marLeft w:val="0"/>
      <w:marRight w:val="0"/>
      <w:marTop w:val="0"/>
      <w:marBottom w:val="0"/>
      <w:divBdr>
        <w:top w:val="none" w:sz="0" w:space="0" w:color="auto"/>
        <w:left w:val="none" w:sz="0" w:space="0" w:color="auto"/>
        <w:bottom w:val="none" w:sz="0" w:space="0" w:color="auto"/>
        <w:right w:val="none" w:sz="0" w:space="0" w:color="auto"/>
      </w:divBdr>
    </w:div>
    <w:div w:id="1847748037">
      <w:bodyDiv w:val="1"/>
      <w:marLeft w:val="0"/>
      <w:marRight w:val="0"/>
      <w:marTop w:val="0"/>
      <w:marBottom w:val="0"/>
      <w:divBdr>
        <w:top w:val="none" w:sz="0" w:space="0" w:color="auto"/>
        <w:left w:val="none" w:sz="0" w:space="0" w:color="auto"/>
        <w:bottom w:val="none" w:sz="0" w:space="0" w:color="auto"/>
        <w:right w:val="none" w:sz="0" w:space="0" w:color="auto"/>
      </w:divBdr>
    </w:div>
    <w:div w:id="1973830650">
      <w:bodyDiv w:val="1"/>
      <w:marLeft w:val="0"/>
      <w:marRight w:val="0"/>
      <w:marTop w:val="0"/>
      <w:marBottom w:val="0"/>
      <w:divBdr>
        <w:top w:val="none" w:sz="0" w:space="0" w:color="auto"/>
        <w:left w:val="none" w:sz="0" w:space="0" w:color="auto"/>
        <w:bottom w:val="none" w:sz="0" w:space="0" w:color="auto"/>
        <w:right w:val="none" w:sz="0" w:space="0" w:color="auto"/>
      </w:divBdr>
    </w:div>
    <w:div w:id="200613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0703.259009C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6626</Words>
  <Characters>37772</Characters>
  <Application>Microsoft Office Word</Application>
  <DocSecurity>0</DocSecurity>
  <Lines>314</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Ministry of Energy</cp:lastModifiedBy>
  <cp:revision>2</cp:revision>
  <cp:lastPrinted>2026-01-13T12:34:00Z</cp:lastPrinted>
  <dcterms:created xsi:type="dcterms:W3CDTF">2026-01-15T09:36:00Z</dcterms:created>
  <dcterms:modified xsi:type="dcterms:W3CDTF">2026-01-15T09:36:00Z</dcterms:modified>
</cp:coreProperties>
</file>